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000000"/>
        </w:rPr>
      </w:pPr>
      <w:r w:rsidDel="00000000" w:rsidR="00000000" w:rsidRPr="00000000">
        <w:rPr>
          <w:rtl w:val="0"/>
        </w:rPr>
      </w:r>
    </w:p>
    <w:p w:rsidR="00000000" w:rsidDel="00000000" w:rsidP="00000000" w:rsidRDefault="00000000" w:rsidRPr="00000000" w14:paraId="00000002">
      <w:pPr>
        <w:pBdr>
          <w:top w:color="000000" w:space="1" w:sz="4" w:val="single"/>
          <w:left w:color="000000" w:space="3" w:sz="4" w:val="single"/>
          <w:bottom w:color="000000" w:space="1" w:sz="4" w:val="single"/>
          <w:right w:color="000000" w:space="4" w:sz="4" w:val="single"/>
        </w:pBdr>
        <w:shd w:fill="e5b9b7" w:val="clear"/>
        <w:spacing w:after="200" w:lineRule="auto"/>
        <w:rPr>
          <w:b w:val="1"/>
          <w:bCs w:val="1"/>
          <w:color w:val="000000"/>
        </w:rPr>
      </w:pPr>
      <w:r w:rsidDel="00000000" w:rsidR="00000000" w:rsidRPr="00000000">
        <w:rPr>
          <w:b w:val="1"/>
          <w:bCs w:val="1"/>
          <w:rtl w:val="0"/>
        </w:rPr>
        <w:t xml:space="preserve">9:20</w:t>
      </w:r>
      <w:r w:rsidDel="00000000" w:rsidR="00000000" w:rsidRPr="00000000">
        <w:rPr>
          <w:b w:val="1"/>
          <w:bCs w:val="1"/>
          <w:color w:val="000000"/>
          <w:rtl w:val="0"/>
        </w:rPr>
        <w:t xml:space="preserve">-10:</w:t>
      </w:r>
      <w:r w:rsidDel="00000000" w:rsidR="00000000" w:rsidRPr="00000000">
        <w:rPr>
          <w:b w:val="1"/>
          <w:bCs w:val="1"/>
          <w:rtl w:val="0"/>
        </w:rPr>
        <w:t xml:space="preserve">50</w:t>
      </w:r>
      <w:r w:rsidDel="00000000" w:rsidR="00000000" w:rsidRPr="00000000">
        <w:rPr>
          <w:b w:val="1"/>
          <w:bCs w:val="1"/>
          <w:color w:val="000000"/>
          <w:rtl w:val="0"/>
        </w:rPr>
        <w:tab/>
        <w:t xml:space="preserve">Session I: Introducing a Glossary of Environmental Peacebuilding</w:t>
      </w:r>
    </w:p>
    <w:p w:rsidR="00000000" w:rsidDel="00000000" w:rsidP="00000000" w:rsidRDefault="00000000" w:rsidRPr="00000000" w14:paraId="00000003">
      <w:pPr>
        <w:rPr>
          <w:highlight w:val="white"/>
        </w:rPr>
      </w:pPr>
      <w:r w:rsidDel="00000000" w:rsidR="00000000" w:rsidRPr="00000000">
        <w:rPr>
          <w:i w:val="1"/>
          <w:iCs w:val="1"/>
          <w:color w:val="000000"/>
          <w:rtl w:val="0"/>
        </w:rPr>
        <w:t xml:space="preserve">Chair: Shannon O’Lear, University of Kansas</w:t>
      </w: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rtl w:val="0"/>
        </w:rPr>
      </w:r>
    </w:p>
    <w:p w:rsidR="00000000" w:rsidDel="00000000" w:rsidP="00000000" w:rsidRDefault="00000000" w:rsidRPr="00000000" w14:paraId="00000005">
      <w:pPr>
        <w:rPr>
          <w:color w:val="1f1f1f"/>
          <w:highlight w:val="white"/>
        </w:rPr>
      </w:pPr>
      <w:r w:rsidDel="00000000" w:rsidR="00000000" w:rsidRPr="00000000">
        <w:rPr>
          <w:color w:val="1f1f1f"/>
          <w:rtl w:val="0"/>
        </w:rPr>
        <w:t xml:space="preserve">The Glossary of Environmental Peacebuilding: The Environmental Peacebuilding Association (EnPAx) is producing a glossary of key terms for the ﬁeld that will be available in spring 2026. This session oﬀers a brief presentation on the EnPAx organization and a preview of the glossary terms. Given the considerable overlap with political geographers’ work on environment‐related conﬂict and (in)security and other political geographies of natural resources, this session aims to foster a conversation about the prospects and perils of environmental peacebuilding.</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Bdr>
          <w:top w:color="000000" w:space="1" w:sz="4" w:val="single"/>
          <w:left w:color="000000" w:space="3" w:sz="4" w:val="single"/>
          <w:bottom w:color="000000" w:space="1" w:sz="4" w:val="single"/>
          <w:right w:color="000000" w:space="4" w:sz="4" w:val="single"/>
        </w:pBdr>
        <w:shd w:fill="e5b9b7" w:val="clear"/>
        <w:spacing w:after="200" w:lineRule="auto"/>
        <w:rPr>
          <w:b w:val="1"/>
          <w:bCs w:val="1"/>
          <w:color w:val="000000"/>
        </w:rPr>
      </w:pPr>
      <w:r w:rsidDel="00000000" w:rsidR="00000000" w:rsidRPr="00000000">
        <w:rPr>
          <w:b w:val="1"/>
          <w:bCs w:val="1"/>
          <w:rtl w:val="0"/>
        </w:rPr>
        <w:t xml:space="preserve">9</w:t>
      </w:r>
      <w:r w:rsidDel="00000000" w:rsidR="00000000" w:rsidRPr="00000000">
        <w:rPr>
          <w:b w:val="1"/>
          <w:bCs w:val="1"/>
          <w:color w:val="000000"/>
          <w:rtl w:val="0"/>
        </w:rPr>
        <w:t xml:space="preserve">:</w:t>
      </w:r>
      <w:r w:rsidDel="00000000" w:rsidR="00000000" w:rsidRPr="00000000">
        <w:rPr>
          <w:b w:val="1"/>
          <w:bCs w:val="1"/>
          <w:rtl w:val="0"/>
        </w:rPr>
        <w:t xml:space="preserve">20</w:t>
      </w:r>
      <w:r w:rsidDel="00000000" w:rsidR="00000000" w:rsidRPr="00000000">
        <w:rPr>
          <w:b w:val="1"/>
          <w:bCs w:val="1"/>
          <w:color w:val="000000"/>
          <w:rtl w:val="0"/>
        </w:rPr>
        <w:t xml:space="preserve">-10:</w:t>
      </w:r>
      <w:r w:rsidDel="00000000" w:rsidR="00000000" w:rsidRPr="00000000">
        <w:rPr>
          <w:b w:val="1"/>
          <w:bCs w:val="1"/>
          <w:rtl w:val="0"/>
        </w:rPr>
        <w:t xml:space="preserve">50</w:t>
      </w:r>
      <w:r w:rsidDel="00000000" w:rsidR="00000000" w:rsidRPr="00000000">
        <w:rPr>
          <w:b w:val="1"/>
          <w:bCs w:val="1"/>
          <w:color w:val="000000"/>
          <w:rtl w:val="0"/>
        </w:rPr>
        <w:tab/>
        <w:t xml:space="preserve">Session II: Geopolitics</w:t>
      </w:r>
    </w:p>
    <w:p w:rsidR="00000000" w:rsidDel="00000000" w:rsidP="00000000" w:rsidRDefault="00000000" w:rsidRPr="00000000" w14:paraId="00000008">
      <w:pPr>
        <w:rPr/>
      </w:pPr>
      <w:r w:rsidDel="00000000" w:rsidR="00000000" w:rsidRPr="00000000">
        <w:rPr>
          <w:i w:val="1"/>
          <w:iCs w:val="1"/>
          <w:color w:val="000000"/>
          <w:rtl w:val="0"/>
        </w:rPr>
        <w:t xml:space="preserve">Chair: Alec Murphy, University of Oregon</w:t>
      </w:r>
      <w:r w:rsidDel="00000000" w:rsidR="00000000" w:rsidRPr="00000000">
        <w:rPr>
          <w:rtl w:val="0"/>
        </w:rPr>
      </w:r>
    </w:p>
    <w:p w:rsidR="00000000" w:rsidDel="00000000" w:rsidP="00000000" w:rsidRDefault="00000000" w:rsidRPr="00000000" w14:paraId="00000009">
      <w:pPr>
        <w:rPr>
          <w:color w:val="000000"/>
        </w:rPr>
      </w:pPr>
      <w:r w:rsidDel="00000000" w:rsidR="00000000" w:rsidRPr="00000000">
        <w:rPr>
          <w:rtl w:val="0"/>
        </w:rPr>
      </w:r>
    </w:p>
    <w:p w:rsidR="00000000" w:rsidDel="00000000" w:rsidP="00000000" w:rsidRDefault="00000000" w:rsidRPr="00000000" w14:paraId="0000000A">
      <w:pPr>
        <w:rPr>
          <w:color w:val="1f1f1f"/>
        </w:rPr>
      </w:pPr>
      <w:r w:rsidDel="00000000" w:rsidR="00000000" w:rsidRPr="00000000">
        <w:rPr>
          <w:b w:val="1"/>
          <w:bCs w:val="1"/>
          <w:color w:val="1f1f1f"/>
          <w:rtl w:val="0"/>
        </w:rPr>
        <w:t xml:space="preserve">Beyond Ottawa: Shifting discourses of landmines in contemporary conflict, </w:t>
      </w:r>
      <w:r w:rsidDel="00000000" w:rsidR="00000000" w:rsidRPr="00000000">
        <w:rPr>
          <w:color w:val="1f1f1f"/>
          <w:rtl w:val="0"/>
        </w:rPr>
        <w:t xml:space="preserve">Ruth Trumble (Hofstra University)</w:t>
      </w:r>
    </w:p>
    <w:p w:rsidR="00000000" w:rsidDel="00000000" w:rsidP="00000000" w:rsidRDefault="00000000" w:rsidRPr="00000000" w14:paraId="0000000B">
      <w:pPr>
        <w:rPr>
          <w:color w:val="1f1f1f"/>
        </w:rPr>
      </w:pPr>
      <w:r w:rsidDel="00000000" w:rsidR="00000000" w:rsidRPr="00000000">
        <w:rPr>
          <w:rtl w:val="0"/>
        </w:rPr>
      </w:r>
    </w:p>
    <w:p w:rsidR="00000000" w:rsidDel="00000000" w:rsidP="00000000" w:rsidRDefault="00000000" w:rsidRPr="00000000" w14:paraId="0000000C">
      <w:pPr>
        <w:rPr>
          <w:color w:val="1f1f1f"/>
        </w:rPr>
      </w:pPr>
      <w:r w:rsidDel="00000000" w:rsidR="00000000" w:rsidRPr="00000000">
        <w:rPr>
          <w:color w:val="1f1f1f"/>
          <w:rtl w:val="0"/>
        </w:rPr>
        <w:t xml:space="preserve">In this paper, I argue that despite contemporary aerial and other technological advances of warfare, the 2025 shift by multiple countries to reinstate the use of antipersonnel (AP) mines reveals a re-entrenchment of the conceptualization of security as one marked by physical territory. During the 1990s, international discourse framed AP landmines as primitive and inhumane weapons because, once triggered, the explosives do not discriminate between a combatant and a civilian. Widely used in conflicts in ‘developing’ countries, such as Rwanda and Bosnia-Herzegovina (BiH), left AP mines scattered in known and unknown places throughout the former battlefields. The global efforts to reduce the use of AP mines culminated in the 1997 Anti-Personnel Mine Ban Treaty in Ottawa. Eighteen years later, many countries are announcing that they are leaving the Ottawa Treaty citing security concerns, most often citing a potential Russian invasion. Through a critical geopolitics lens I compare the global community discourses from the 1980s and 1990s that contributed to the Ottawa Treaty and contemporary discourses around whose security is prioritized today.</w:t>
      </w:r>
    </w:p>
    <w:p w:rsidR="00000000" w:rsidDel="00000000" w:rsidP="00000000" w:rsidRDefault="00000000" w:rsidRPr="00000000" w14:paraId="0000000D">
      <w:pPr>
        <w:rPr>
          <w:b w:val="1"/>
          <w:bCs w:val="1"/>
          <w:color w:val="1f1f1f"/>
        </w:rPr>
      </w:pPr>
      <w:r w:rsidDel="00000000" w:rsidR="00000000" w:rsidRPr="00000000">
        <w:rPr>
          <w:rtl w:val="0"/>
        </w:rPr>
      </w:r>
    </w:p>
    <w:p w:rsidR="00000000" w:rsidDel="00000000" w:rsidP="00000000" w:rsidRDefault="00000000" w:rsidRPr="00000000" w14:paraId="0000000E">
      <w:pPr>
        <w:rPr>
          <w:color w:val="1f1f1f"/>
        </w:rPr>
      </w:pPr>
      <w:r w:rsidDel="00000000" w:rsidR="00000000" w:rsidRPr="00000000">
        <w:rPr>
          <w:b w:val="1"/>
          <w:bCs w:val="1"/>
          <w:color w:val="1f1f1f"/>
          <w:rtl w:val="0"/>
        </w:rPr>
        <w:t xml:space="preserve">Geographies of Alliance and How India-US Strategic Coordination Shapes the Indo-Pacific Order, </w:t>
      </w:r>
      <w:r w:rsidDel="00000000" w:rsidR="00000000" w:rsidRPr="00000000">
        <w:rPr>
          <w:color w:val="1f1f1f"/>
          <w:rtl w:val="0"/>
        </w:rPr>
        <w:t xml:space="preserve">Ravi Dass (Central University of Haryana); M.L. Meena</w:t>
      </w:r>
    </w:p>
    <w:p w:rsidR="00000000" w:rsidDel="00000000" w:rsidP="00000000" w:rsidRDefault="00000000" w:rsidRPr="00000000" w14:paraId="0000000F">
      <w:pPr>
        <w:rPr>
          <w:color w:val="1f1f1f"/>
        </w:rPr>
      </w:pPr>
      <w:r w:rsidDel="00000000" w:rsidR="00000000" w:rsidRPr="00000000">
        <w:rPr>
          <w:rtl w:val="0"/>
        </w:rPr>
      </w:r>
    </w:p>
    <w:p w:rsidR="00000000" w:rsidDel="00000000" w:rsidP="00000000" w:rsidRDefault="00000000" w:rsidRPr="00000000" w14:paraId="00000010">
      <w:pPr>
        <w:rPr>
          <w:color w:val="1f1f1f"/>
        </w:rPr>
      </w:pPr>
      <w:r w:rsidDel="00000000" w:rsidR="00000000" w:rsidRPr="00000000">
        <w:rPr>
          <w:color w:val="1f1f1f"/>
          <w:rtl w:val="0"/>
        </w:rPr>
        <w:t xml:space="preserve">This paper explores how India and the United States are co-producing new geopolitical spaces in the Indo-Pacific through “minilateral architectures” means flexible, task-specific coalitions such as the QUAD, I2U2, and emerging maritime security arrangements. Rather than viewing alliances as fixed institutional entities, the paper conceptualises minilaterals as geostrategic assemblages: adaptive spatial formations that enable power projection without the binding obligations of traditional treaty-based structures. This framework reveals the distinct yet converging logics shaping India–US coordination, India’s preference for “strategic autonomy with alignment,” and the U.S. pursuit of “networked deterrence.” By examining maritime chokepoints, logistics hubs, and technology corridors as distributed infrastructures of influence, this study demonstrates how both states are reshaping the regional order not through territorial control, but by governing the flows of data, energy, capital, and security.</w:t>
      </w:r>
    </w:p>
    <w:p w:rsidR="00000000" w:rsidDel="00000000" w:rsidP="00000000" w:rsidRDefault="00000000" w:rsidRPr="00000000" w14:paraId="00000011">
      <w:pPr>
        <w:rPr>
          <w:color w:val="1f1f1f"/>
        </w:rPr>
      </w:pPr>
      <w:r w:rsidDel="00000000" w:rsidR="00000000" w:rsidRPr="00000000">
        <w:rPr>
          <w:rtl w:val="0"/>
        </w:rPr>
      </w:r>
    </w:p>
    <w:p w:rsidR="00000000" w:rsidDel="00000000" w:rsidP="00000000" w:rsidRDefault="00000000" w:rsidRPr="00000000" w14:paraId="00000012">
      <w:pPr>
        <w:rPr>
          <w:color w:val="1f1f1f"/>
        </w:rPr>
      </w:pPr>
      <w:r w:rsidDel="00000000" w:rsidR="00000000" w:rsidRPr="00000000">
        <w:rPr>
          <w:color w:val="1f1f1f"/>
          <w:rtl w:val="0"/>
        </w:rPr>
        <w:t xml:space="preserve">Empirically, the paper maps how these minilaterals shift geopolitical gravity toward the Indian Ocean, advancing a “dual-frontier strategy” that simultaneously counters China’s maritime expansion and stabilises emerging supply-chain geographies. It argues that minilaterals create a paradoxical space: a coalition network capable of counterbalancing China, while preserving India’s political autonomy and offering the United States a post-alliance mode of leadership. The paper contributes a novel theoretical lens to political geography by positioning minilaterals as instruments that manufacture influence without formal alliance, thereby inaugurating a new debate on how spatial power is exercised in an era of fluid multipolarity.</w:t>
      </w:r>
    </w:p>
    <w:p w:rsidR="00000000" w:rsidDel="00000000" w:rsidP="00000000" w:rsidRDefault="00000000" w:rsidRPr="00000000" w14:paraId="00000013">
      <w:pPr>
        <w:rPr>
          <w:b w:val="1"/>
          <w:bCs w:val="1"/>
          <w:color w:val="1f1f1f"/>
        </w:rPr>
      </w:pPr>
      <w:r w:rsidDel="00000000" w:rsidR="00000000" w:rsidRPr="00000000">
        <w:rPr>
          <w:rtl w:val="0"/>
        </w:rPr>
      </w:r>
    </w:p>
    <w:p w:rsidR="00000000" w:rsidDel="00000000" w:rsidP="00000000" w:rsidRDefault="00000000" w:rsidRPr="00000000" w14:paraId="00000014">
      <w:pPr>
        <w:rPr>
          <w:color w:val="1f1f1f"/>
        </w:rPr>
      </w:pPr>
      <w:r w:rsidDel="00000000" w:rsidR="00000000" w:rsidRPr="00000000">
        <w:rPr>
          <w:b w:val="1"/>
          <w:bCs w:val="1"/>
          <w:color w:val="1f1f1f"/>
          <w:rtl w:val="0"/>
        </w:rPr>
        <w:t xml:space="preserve">With enemies like these: Enemy Ace as antihero and the critical geopolitics of war comics since the Silver Age, </w:t>
      </w:r>
      <w:r w:rsidDel="00000000" w:rsidR="00000000" w:rsidRPr="00000000">
        <w:rPr>
          <w:color w:val="1f1f1f"/>
          <w:rtl w:val="0"/>
        </w:rPr>
        <w:t xml:space="preserve">Ted Holland (University of Arkansas)</w:t>
      </w:r>
    </w:p>
    <w:p w:rsidR="00000000" w:rsidDel="00000000" w:rsidP="00000000" w:rsidRDefault="00000000" w:rsidRPr="00000000" w14:paraId="00000015">
      <w:pPr>
        <w:rPr>
          <w:color w:val="1f1f1f"/>
        </w:rPr>
      </w:pPr>
      <w:r w:rsidDel="00000000" w:rsidR="00000000" w:rsidRPr="00000000">
        <w:rPr>
          <w:rtl w:val="0"/>
        </w:rPr>
      </w:r>
    </w:p>
    <w:p w:rsidR="00000000" w:rsidDel="00000000" w:rsidP="00000000" w:rsidRDefault="00000000" w:rsidRPr="00000000" w14:paraId="00000016">
      <w:pPr>
        <w:rPr>
          <w:color w:val="1f1f1f"/>
        </w:rPr>
      </w:pPr>
      <w:r w:rsidDel="00000000" w:rsidR="00000000" w:rsidRPr="00000000">
        <w:rPr>
          <w:color w:val="1f1f1f"/>
          <w:rtl w:val="0"/>
        </w:rPr>
        <w:t xml:space="preserve">The paper provides a close reading of the Enemy Ace in the character’s initial appearances and subsequent reinterpretations in the DC Comics universe. The central argument is that the Enemy Ace is an antihero whose depiction complicated traditional conventions of the war comics genre when he first appeared. This role for the Enemy Ace was part of the character’s initial conceptualization as a German military pilot during the First World War. However, the Enemy Ace as a character was made possible by the evolution of narratives within war comics as a genre, a changing geopolitical relationship between the United States and Germany as its former antagonist during the first and second world wars, and larger societal changes that unsettled the nationalist function of war comics as part of the questioning of cultivating citizens as soldiers. Twenty years after the end of World War II, Germany was still divided between east and west. Yet, West Germany’s integration into institutions like the North Atlantic Treaty Organization (NATO, in 1955) and what would become the European Union (previously the European Coal and Steel Community and then the European Economic Community, in 1951) reflected its rehabilitation from enemy to ally. The Enemy Ace as a comic book character is an early example of a rethinking of the role of the enemy in the war comics genre that has developed further since the character was first introduced.</w:t>
      </w:r>
    </w:p>
    <w:p w:rsidR="00000000" w:rsidDel="00000000" w:rsidP="00000000" w:rsidRDefault="00000000" w:rsidRPr="00000000" w14:paraId="00000017">
      <w:pPr>
        <w:rPr>
          <w:color w:val="000000"/>
        </w:rPr>
      </w:pPr>
      <w:r w:rsidDel="00000000" w:rsidR="00000000" w:rsidRPr="00000000">
        <w:rPr>
          <w:rtl w:val="0"/>
        </w:rPr>
      </w:r>
    </w:p>
    <w:p w:rsidR="00000000" w:rsidDel="00000000" w:rsidP="00000000" w:rsidRDefault="00000000" w:rsidRPr="00000000" w14:paraId="00000018">
      <w:pPr>
        <w:rPr>
          <w:color w:val="000000"/>
        </w:rPr>
      </w:pPr>
      <w:r w:rsidDel="00000000" w:rsidR="00000000" w:rsidRPr="00000000">
        <w:rPr>
          <w:b w:val="1"/>
          <w:bCs w:val="1"/>
          <w:color w:val="000000"/>
          <w:rtl w:val="0"/>
        </w:rPr>
        <w:t xml:space="preserve">After Exceptionalism: The Balkans and the Geography of Significance, </w:t>
      </w:r>
      <w:r w:rsidDel="00000000" w:rsidR="00000000" w:rsidRPr="00000000">
        <w:rPr>
          <w:color w:val="000000"/>
          <w:rtl w:val="0"/>
        </w:rPr>
        <w:t xml:space="preserve">Bianca Malkoc (University of South Carolina)</w:t>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rPr>
          <w:color w:val="000000"/>
        </w:rPr>
      </w:pPr>
      <w:r w:rsidDel="00000000" w:rsidR="00000000" w:rsidRPr="00000000">
        <w:rPr>
          <w:color w:val="000000"/>
          <w:rtl w:val="0"/>
        </w:rPr>
        <w:t xml:space="preserve">This paper examines how the Balkans’ continued construction as a geopolitical periphery reproduces Cold War logics of American exceptionalism that render the region meaningful only in relation to great power competition. In much of Western discourse, the Balkans are portrayed as marginal, a space where democracy must still be achieved. Yet this assumption rests on the idea that democracy is already secured elsewhere. The erosion of democratic credibility in the United States and across Europe complicates this view and invites a rethinking of what significance means in a shifting global order. Drawing on my research in eastern Serbia, I examine how expanded copper mining under Zijin Mining—the Chinese company that purchased a controlling stake in the region’s formerly state-owned mines—exposes the contradictions between national claims of sovereignty and the realities of foreign investment. These tensions situate Serbia within overlapping political and economic projects, including European integration, Chinese infrastructural investment, and post-socialist state restructuring, which make visible how global power takes form in local struggles over land and livelihood. This paper calls for revisiting critical geopolitical and post-socialist approaches to the Balkans as a site that unsettles distinctions between democracy and authoritarianism, East and West, and center and margin (Ó Tuathail 1996; Hyndman 2004; Green 2013; Müller 2018; Chelcea 2022). By situating the Balkans as a site of convergence rather than exception, I argue for recognizing how so-called “peripheral” places offer a critical vantage point from which to reconsider global hierarchies and the geography of significance itself.</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0" w:sz="4" w:val="single"/>
          <w:right w:color="000000" w:space="4" w:sz="4" w:val="single"/>
          <w:between w:space="0" w:sz="0" w:val="nil"/>
        </w:pBdr>
        <w:shd w:fill="fac090" w:val="clear"/>
        <w:spacing w:after="200" w:lineRule="auto"/>
        <w:rPr>
          <w:b w:val="1"/>
          <w:bCs w:val="1"/>
          <w:color w:val="000000"/>
        </w:rPr>
      </w:pPr>
      <w:r w:rsidDel="00000000" w:rsidR="00000000" w:rsidRPr="00000000">
        <w:rPr>
          <w:b w:val="1"/>
          <w:bCs w:val="1"/>
          <w:color w:val="000000"/>
          <w:rtl w:val="0"/>
        </w:rPr>
        <w:t xml:space="preserve">1</w:t>
      </w:r>
      <w:r w:rsidDel="00000000" w:rsidR="00000000" w:rsidRPr="00000000">
        <w:rPr>
          <w:b w:val="1"/>
          <w:bCs w:val="1"/>
          <w:rtl w:val="0"/>
        </w:rPr>
        <w:t xml:space="preserve">1:00</w:t>
      </w:r>
      <w:r w:rsidDel="00000000" w:rsidR="00000000" w:rsidRPr="00000000">
        <w:rPr>
          <w:b w:val="1"/>
          <w:bCs w:val="1"/>
          <w:color w:val="000000"/>
          <w:rtl w:val="0"/>
        </w:rPr>
        <w:t xml:space="preserve">-12:</w:t>
      </w:r>
      <w:r w:rsidDel="00000000" w:rsidR="00000000" w:rsidRPr="00000000">
        <w:rPr>
          <w:b w:val="1"/>
          <w:bCs w:val="1"/>
          <w:rtl w:val="0"/>
        </w:rPr>
        <w:t xml:space="preserve">30</w:t>
      </w:r>
      <w:r w:rsidDel="00000000" w:rsidR="00000000" w:rsidRPr="00000000">
        <w:rPr>
          <w:b w:val="1"/>
          <w:bCs w:val="1"/>
          <w:color w:val="000000"/>
          <w:rtl w:val="0"/>
        </w:rPr>
        <w:tab/>
        <w:t xml:space="preserve">Session III: Critical Geographies</w:t>
      </w:r>
    </w:p>
    <w:p w:rsidR="00000000" w:rsidDel="00000000" w:rsidP="00000000" w:rsidRDefault="00000000" w:rsidRPr="00000000" w14:paraId="0000001E">
      <w:pPr>
        <w:rPr>
          <w:i w:val="1"/>
          <w:iCs w:val="1"/>
          <w:color w:val="000000"/>
        </w:rPr>
      </w:pPr>
      <w:r w:rsidDel="00000000" w:rsidR="00000000" w:rsidRPr="00000000">
        <w:rPr>
          <w:i w:val="1"/>
          <w:iCs w:val="1"/>
          <w:color w:val="000000"/>
          <w:rtl w:val="0"/>
        </w:rPr>
        <w:t xml:space="preserve">Chair: Karen Culcasi, West Virginia University</w:t>
      </w:r>
    </w:p>
    <w:p w:rsidR="00000000" w:rsidDel="00000000" w:rsidP="00000000" w:rsidRDefault="00000000" w:rsidRPr="00000000" w14:paraId="0000001F">
      <w:pPr>
        <w:rPr>
          <w:b w:val="1"/>
          <w:bCs w:val="1"/>
          <w:color w:val="000000"/>
          <w:highlight w:val="white"/>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b w:val="1"/>
          <w:bCs w:val="1"/>
          <w:color w:val="000000"/>
          <w:rtl w:val="0"/>
        </w:rPr>
        <w:t xml:space="preserve">Whither the Left? Affirming the “Black Genius” of Zora Neale Hurston, </w:t>
      </w:r>
      <w:r w:rsidDel="00000000" w:rsidR="00000000" w:rsidRPr="00000000">
        <w:rPr>
          <w:color w:val="000000"/>
          <w:rtl w:val="0"/>
        </w:rPr>
        <w:t xml:space="preserve">Mark Purcell (University of Washington)</w:t>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color w:val="000000"/>
          <w:rtl w:val="0"/>
        </w:rPr>
        <w:t xml:space="preserve">In this paper I argue that geographers on the Left have, for a very long time, been suffused with what Nietzsche called ressentiment.  We are able to think only in terms of destroying what we hate, and we very rarely think in terms of creating what we love.  We need to reimagine our political attitude entirely.  We need to stop thinking in terms of resistance to dominant systems of oppression.  We need to let go of our self-image as anticolonialists, anticapitalists, antiracists, abolitionists, and so on.  Instead, we need to start imagining how we can mobilize our own power to create and affirm new lives in common.  The paper argues that such a reimagination on our part will be a sea change, and it will require new intellectual partners, new sources of creative strength.  I propose one such source of strength is the work of Zora Neale Hurston.  In her fiction and even more in her non-fiction, Hurston declines to join what she calls the “sobbing school of negrohood” that focuses all its attention on resisting racial oppression.  She affirms, instead, in a multitude of different realms, what I call “Black genius”: the power, excellence, intelligence, and generative potential of Black people, Black bodies, and Black culture.  She thus offers us a model for how to think, and to feel, as Left geographers: “the world is to the strong,” she tells us, and so “I do not weep at the world – I am too busy sharpening my oyster knife.”</w:t>
      </w:r>
    </w:p>
    <w:p w:rsidR="00000000" w:rsidDel="00000000" w:rsidP="00000000" w:rsidRDefault="00000000" w:rsidRPr="00000000" w14:paraId="00000023">
      <w:pPr>
        <w:rPr>
          <w:b w:val="1"/>
          <w:bCs w:val="1"/>
          <w:color w:val="000000"/>
        </w:rPr>
      </w:pPr>
      <w:r w:rsidDel="00000000" w:rsidR="00000000" w:rsidRPr="00000000">
        <w:rPr>
          <w:rtl w:val="0"/>
        </w:rPr>
      </w:r>
    </w:p>
    <w:p w:rsidR="00000000" w:rsidDel="00000000" w:rsidP="00000000" w:rsidRDefault="00000000" w:rsidRPr="00000000" w14:paraId="00000024">
      <w:pPr>
        <w:rPr>
          <w:color w:val="000000"/>
        </w:rPr>
      </w:pPr>
      <w:r w:rsidDel="00000000" w:rsidR="00000000" w:rsidRPr="00000000">
        <w:rPr>
          <w:b w:val="1"/>
          <w:bCs w:val="1"/>
          <w:color w:val="000000"/>
          <w:rtl w:val="0"/>
        </w:rPr>
        <w:t xml:space="preserve">Spatial Politics of Silence: Free Speech, Memory, and Student Resistance at the University of California, </w:t>
      </w:r>
      <w:r w:rsidDel="00000000" w:rsidR="00000000" w:rsidRPr="00000000">
        <w:rPr>
          <w:color w:val="000000"/>
          <w:rtl w:val="0"/>
        </w:rPr>
        <w:t xml:space="preserve">Alexis Atsilvsgi Zaragoza (University of California)</w:t>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color w:val="000000"/>
          <w:rtl w:val="0"/>
        </w:rPr>
        <w:t xml:space="preserve">This project maps the spatial politics of free speech suppression at the University of California over time, using sites of resistance across the state of California and all 10 UC campuses as a map of historical silencing of dissent. Drawing on critical memory studies, this research creates a policy ecosystem that both informs activists of legal and policy limits of protest, but also exposes the political moments, wealthy individuals, and at times, corrupt, methods in which these policies were passed. The project challenges institutional amnesia and the university's progressive self-narrative by documenting how free speech policies have functioned as spatial control mechanisms that suppress dissent and maintain the interests of top officials– in this case, the University of California Board of Regents, the California Legislature, and the California Governor.  Through critical memorialization of suppressed histories of resistance, I highlight various political moments such as the early attacks on student newspapers, the Loyalty Oath crisis, the People’s Park protests, the dismantling of the School of Criminology, and more. Overall, I highlight: key historic policies, their origin, the primary decisionmakers behind the policy, their corporate and political ties, political threats and interference, today’s policy landscape, and cross-entanglement with the federal legal landscape for free speech. This paper also encourages using a “policy ecosystem” as a policy analysis mechanism that can be researched at every major institution across the United States for similar purposes, and to give students, faculty, and activists the tools they need to advocate for policies reflective of their values.</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b w:val="1"/>
          <w:bCs w:val="1"/>
          <w:color w:val="000000"/>
        </w:rPr>
      </w:pPr>
      <w:r w:rsidDel="00000000" w:rsidR="00000000" w:rsidRPr="00000000">
        <w:rPr>
          <w:b w:val="1"/>
          <w:bCs w:val="1"/>
          <w:color w:val="000000"/>
          <w:rtl w:val="0"/>
        </w:rPr>
        <w:t xml:space="preserve">“Social inflation” or hot air? Articulating police liability, reaction, and the contradictions of insurance accounting at the reparative conjuncture, </w:t>
      </w:r>
      <w:r w:rsidDel="00000000" w:rsidR="00000000" w:rsidRPr="00000000">
        <w:rPr>
          <w:color w:val="000000"/>
          <w:rtl w:val="0"/>
        </w:rPr>
        <w:t xml:space="preserve">Troy Brundige (University of Oregon)</w:t>
      </w:r>
      <w:r w:rsidDel="00000000" w:rsidR="00000000" w:rsidRPr="00000000">
        <w:rPr>
          <w:rtl w:val="0"/>
        </w:rPr>
      </w:r>
    </w:p>
    <w:p w:rsidR="00000000" w:rsidDel="00000000" w:rsidP="00000000" w:rsidRDefault="00000000" w:rsidRPr="00000000" w14:paraId="00000029">
      <w:pPr>
        <w:rPr>
          <w:color w:val="000000"/>
        </w:rPr>
      </w:pPr>
      <w:r w:rsidDel="00000000" w:rsidR="00000000" w:rsidRPr="00000000">
        <w:rPr>
          <w:rtl w:val="0"/>
        </w:rPr>
      </w:r>
    </w:p>
    <w:p w:rsidR="00000000" w:rsidDel="00000000" w:rsidP="00000000" w:rsidRDefault="00000000" w:rsidRPr="00000000" w14:paraId="0000002A">
      <w:pPr>
        <w:rPr>
          <w:color w:val="000000"/>
        </w:rPr>
      </w:pPr>
      <w:r w:rsidDel="00000000" w:rsidR="00000000" w:rsidRPr="00000000">
        <w:rPr>
          <w:color w:val="000000"/>
          <w:rtl w:val="0"/>
        </w:rPr>
        <w:t xml:space="preserve">Since the 2014 Ferguson insurgency, property and casualty (P&amp;C) insurers widely fault Black Lives Matter, defund campaigns, and viral media for the "social inflation" of police liability costs. As it goes, the increased frequency and severity of civil claims owe to changing societal attitudes, ‘legal system abuse’, and anti-police sentiment— a pretense to raise rates and reduce coverage limits. Payouts have climbed in the last decade. However, this is contrasted by declines in both civil rights and out-of-court insurance claims since 2006. This suggests that in the present "reparative conjuncture" (Jovan Scott Lewis, 2024), misconduct is more intolerable rather than more-frequently litigated, as win rates improve for higher amounts, and departments respond rationally to threats of litigation and public disapproval. Yet, liability coverage costs for police agencies and governments have risen to historic levels. Why? I argue that social inflation is a red herring for P&amp;C-sector boom-and-bust cycles. During 'soft markets', insurers leverage surplus capital to relax underwriting standards and price coverage below cost. Hard markets occur as surplus dwindles-- worsened by shocks and new exposures-- compelling carriers to tighten standards and raise rates. To justify regressive tort 'reform', insurers articulate self-inflicted price hardening periods with so-called crises of "claims consciousness", obscuring the material repercussions of irrational underwriting.  The logic of social inflation is a reactionary performance of risk: a contagion diffused by media; a befouling of pristine legal space; and said to be variegated throughout the legal geography of successful claims-- i.e., "civil rights ecosystems" (Joanna Schwartz, 2019).</w:t>
      </w:r>
    </w:p>
    <w:p w:rsidR="00000000" w:rsidDel="00000000" w:rsidP="00000000" w:rsidRDefault="00000000" w:rsidRPr="00000000" w14:paraId="0000002B">
      <w:pPr>
        <w:rPr>
          <w:color w:val="1f1f1f"/>
          <w:highlight w:val="white"/>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0" w:sz="4" w:val="single"/>
          <w:right w:color="000000" w:space="4" w:sz="4" w:val="single"/>
          <w:between w:space="0" w:sz="0" w:val="nil"/>
        </w:pBdr>
        <w:shd w:fill="fac090" w:val="clear"/>
        <w:spacing w:after="200" w:lineRule="auto"/>
        <w:rPr>
          <w:b w:val="1"/>
          <w:bCs w:val="1"/>
          <w:color w:val="000000"/>
        </w:rPr>
      </w:pPr>
      <w:r w:rsidDel="00000000" w:rsidR="00000000" w:rsidRPr="00000000">
        <w:rPr>
          <w:b w:val="1"/>
          <w:bCs w:val="1"/>
          <w:rtl w:val="0"/>
        </w:rPr>
        <w:t xml:space="preserve">11:00</w:t>
      </w:r>
      <w:r w:rsidDel="00000000" w:rsidR="00000000" w:rsidRPr="00000000">
        <w:rPr>
          <w:b w:val="1"/>
          <w:bCs w:val="1"/>
          <w:color w:val="000000"/>
          <w:rtl w:val="0"/>
        </w:rPr>
        <w:t xml:space="preserve">-12:</w:t>
      </w:r>
      <w:r w:rsidDel="00000000" w:rsidR="00000000" w:rsidRPr="00000000">
        <w:rPr>
          <w:b w:val="1"/>
          <w:bCs w:val="1"/>
          <w:rtl w:val="0"/>
        </w:rPr>
        <w:t xml:space="preserve">30</w:t>
      </w:r>
      <w:r w:rsidDel="00000000" w:rsidR="00000000" w:rsidRPr="00000000">
        <w:rPr>
          <w:b w:val="1"/>
          <w:bCs w:val="1"/>
          <w:color w:val="000000"/>
          <w:rtl w:val="0"/>
        </w:rPr>
        <w:tab/>
        <w:t xml:space="preserve">Session IV: Energy &amp; the Environment</w:t>
      </w:r>
    </w:p>
    <w:p w:rsidR="00000000" w:rsidDel="00000000" w:rsidP="00000000" w:rsidRDefault="00000000" w:rsidRPr="00000000" w14:paraId="0000002D">
      <w:pPr>
        <w:rPr>
          <w:i w:val="1"/>
          <w:iCs w:val="1"/>
          <w:color w:val="000000"/>
        </w:rPr>
      </w:pPr>
      <w:r w:rsidDel="00000000" w:rsidR="00000000" w:rsidRPr="00000000">
        <w:rPr>
          <w:i w:val="1"/>
          <w:iCs w:val="1"/>
          <w:color w:val="000000"/>
          <w:rtl w:val="0"/>
        </w:rPr>
        <w:t xml:space="preserve">Chair: Ruth Trumble, Hofstra University</w:t>
      </w:r>
    </w:p>
    <w:p w:rsidR="00000000" w:rsidDel="00000000" w:rsidP="00000000" w:rsidRDefault="00000000" w:rsidRPr="00000000" w14:paraId="0000002E">
      <w:pPr>
        <w:rPr>
          <w:i w:val="1"/>
          <w:iCs w:val="1"/>
          <w:color w:val="000000"/>
        </w:rPr>
      </w:pPr>
      <w:r w:rsidDel="00000000" w:rsidR="00000000" w:rsidRPr="00000000">
        <w:rPr>
          <w:rtl w:val="0"/>
        </w:rPr>
      </w:r>
    </w:p>
    <w:p w:rsidR="00000000" w:rsidDel="00000000" w:rsidP="00000000" w:rsidRDefault="00000000" w:rsidRPr="00000000" w14:paraId="0000002F">
      <w:pPr>
        <w:rPr>
          <w:color w:val="1f1f1f"/>
          <w:highlight w:val="white"/>
        </w:rPr>
      </w:pPr>
      <w:r w:rsidDel="00000000" w:rsidR="00000000" w:rsidRPr="00000000">
        <w:rPr>
          <w:b w:val="1"/>
          <w:bCs w:val="1"/>
          <w:color w:val="000000"/>
          <w:rtl w:val="0"/>
        </w:rPr>
        <w:t xml:space="preserve">Energy Power and the Tough Nut of Transition, </w:t>
      </w:r>
      <w:r w:rsidDel="00000000" w:rsidR="00000000" w:rsidRPr="00000000">
        <w:rPr>
          <w:color w:val="000000"/>
          <w:rtl w:val="0"/>
        </w:rPr>
        <w:t xml:space="preserve">Corey Johnson (University of North Carolina, Greensboro)</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 this paper I explore what I am calling "energy power," or the human tendency to overlook disadvantages to one energy source over another that I argue is at the core of our extremely difficult energy transitions. This is different from, though informed by, work by Dominic Boyer on "energopolitics," and other conceptual interventions related to the politics and institutions shaping energy mixes worldwide. Drawing on long histories of energy transitions, as well as more recent attempts to implement alternatives to fossil fuel economies, the paper seeks to place the household and individual scale questions of choice and preference at the center of analysis.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color w:val="000000"/>
        </w:rPr>
      </w:pPr>
      <w:r w:rsidDel="00000000" w:rsidR="00000000" w:rsidRPr="00000000">
        <w:rPr>
          <w:b w:val="1"/>
          <w:bCs w:val="1"/>
          <w:color w:val="000000"/>
          <w:rtl w:val="0"/>
        </w:rPr>
        <w:t xml:space="preserve">Constructing legitimacy within United States Environmental Protection Agency: The Role of Sciences in the Rulemaking process, </w:t>
      </w:r>
      <w:r w:rsidDel="00000000" w:rsidR="00000000" w:rsidRPr="00000000">
        <w:rPr>
          <w:color w:val="000000"/>
          <w:rtl w:val="0"/>
        </w:rPr>
        <w:t xml:space="preserve">Ellen Kohl, (University of Maryland, Baltimore County); Marianne Sullivan</w:t>
      </w:r>
    </w:p>
    <w:p w:rsidR="00000000" w:rsidDel="00000000" w:rsidP="00000000" w:rsidRDefault="00000000" w:rsidRPr="00000000" w14:paraId="00000034">
      <w:pPr>
        <w:rPr>
          <w:color w:val="000000"/>
        </w:rPr>
      </w:pPr>
      <w:r w:rsidDel="00000000" w:rsidR="00000000" w:rsidRPr="00000000">
        <w:rPr>
          <w:rtl w:val="0"/>
        </w:rPr>
      </w:r>
    </w:p>
    <w:p w:rsidR="00000000" w:rsidDel="00000000" w:rsidP="00000000" w:rsidRDefault="00000000" w:rsidRPr="00000000" w14:paraId="00000035">
      <w:pPr>
        <w:rPr>
          <w:color w:val="000000"/>
        </w:rPr>
      </w:pPr>
      <w:r w:rsidDel="00000000" w:rsidR="00000000" w:rsidRPr="00000000">
        <w:rPr>
          <w:color w:val="000000"/>
          <w:rtl w:val="0"/>
        </w:rPr>
        <w:t xml:space="preserve">What scientific evidence is considered sufficient and valid to use in environmental regulatory decision-making, including both the type of sciences and number of studies conducted and considered, influences what regulations are put in place. In the US context, the US Environmental Protection Agency (US EPA) draws on different forms of scientific evidence to set regulations, but there is often debate as to what science, created by whom, can and should be used in this process. This has been exacerbated by the intentional attacks on science by populist movements, far-right political activism, and within the US context, the Trump presidency and the execution of the Heritage Foundation Project 2025 playbook. Through a critical policy analysis of rulemaking under the Clean Air Act, the Safe Drinking Water Act, and Federal Insecticide, Fungicide, and Rodenticide Act at the US EPA we examine how science impacting children and environmental justice communities is leveraged in the rule making process. We find that instead of using scientific evidence to require strong environmental protections, the US EPA often leverages the uncertainty within scientific evidence to enact less restrictive regulatory standards. Moreover, in their rule making, neither children’s environmental health or environmental justice are typically prioritized, and only in rare instances are the lived experiences of children living in environmental justice communities considered. Understanding how science and vulnerability are leveraged in US EPA rulemaking highlights how knowledge, uncertainty, and authority can be used to privilege some forms of protection over others.</w:t>
      </w:r>
    </w:p>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rPr>
          <w:color w:val="1f1f1f"/>
        </w:rPr>
      </w:pPr>
      <w:r w:rsidDel="00000000" w:rsidR="00000000" w:rsidRPr="00000000">
        <w:rPr>
          <w:b w:val="1"/>
          <w:bCs w:val="1"/>
          <w:color w:val="1f1f1f"/>
          <w:rtl w:val="0"/>
        </w:rPr>
        <w:t xml:space="preserve">Make Sorghum Great Again: Tensions in Right-Wing Food Movements and Geopolitics of Gene Editing and Regenerative Agriculture, </w:t>
      </w:r>
      <w:r w:rsidDel="00000000" w:rsidR="00000000" w:rsidRPr="00000000">
        <w:rPr>
          <w:color w:val="1f1f1f"/>
          <w:rtl w:val="0"/>
        </w:rPr>
        <w:t xml:space="preserve">Gabriella Subia Smith (University of California, Berkeley); Lauren Gifford</w:t>
      </w:r>
    </w:p>
    <w:p w:rsidR="00000000" w:rsidDel="00000000" w:rsidP="00000000" w:rsidRDefault="00000000" w:rsidRPr="00000000" w14:paraId="00000038">
      <w:pPr>
        <w:rPr>
          <w:color w:val="1f1f1f"/>
        </w:rPr>
      </w:pPr>
      <w:r w:rsidDel="00000000" w:rsidR="00000000" w:rsidRPr="00000000">
        <w:rPr>
          <w:rtl w:val="0"/>
        </w:rPr>
      </w:r>
    </w:p>
    <w:p w:rsidR="00000000" w:rsidDel="00000000" w:rsidP="00000000" w:rsidRDefault="00000000" w:rsidRPr="00000000" w14:paraId="00000039">
      <w:pPr>
        <w:rPr>
          <w:color w:val="1f1f1f"/>
          <w:highlight w:val="white"/>
        </w:rPr>
      </w:pPr>
      <w:r w:rsidDel="00000000" w:rsidR="00000000" w:rsidRPr="00000000">
        <w:rPr>
          <w:color w:val="1f1f1f"/>
          <w:rtl w:val="0"/>
        </w:rPr>
        <w:t xml:space="preserve">Will sorghum, a small grain with a large global market, make a comeback in U.S. agri-food systems? Although production has declined sharply since the 1960s, sorghum’s popularity has grown as a gluten-free, high-protein, non-GMO crop that requires less water and synthetic inputs than corn and can help build soil organic matter. Its nutritional and environmental benefits have also drawn scientific attention, leading some to believe that gene editing technologies like CRISPR could enhance yields, nutrient value, and carbon sequestration potential. However, as these technological promises collide with market, infrastructural, and political constraints, they illuminate contradictions within right-wing food movements and agriculture policy in the U.S. Drawing on farmer engagement research on gene-edited sorghum for soil carbon sequestration, this paper examines how the political and economic conditions shaping U.S. agriculture structure farmers’ willingness and capacity to adopt new technologies. It argues that the simultaneous co-optation of agroecological rhetoric by right-wing food movements and government investment in agribiotech is not accidental, but a strategic alignment that consolidates wealth and influence while shifting social and environmental risks and responsibility for climate resilience onto producers and rural communities. Ultimately, these dynamics reveal the need for greater attention to how ever-evolving food politics, supply chains, and market capacity shape the possibilities for climate resilience in agriculture.</w:t>
      </w:r>
      <w:r w:rsidDel="00000000" w:rsidR="00000000" w:rsidRPr="00000000">
        <w:rPr>
          <w:rtl w:val="0"/>
        </w:rPr>
      </w:r>
    </w:p>
    <w:p w:rsidR="00000000" w:rsidDel="00000000" w:rsidP="00000000" w:rsidRDefault="00000000" w:rsidRPr="00000000" w14:paraId="0000003A">
      <w:pPr>
        <w:rPr>
          <w:b w:val="1"/>
          <w:bCs w:val="1"/>
          <w:highlight w:val="white"/>
        </w:rPr>
      </w:pPr>
      <w:bookmarkStart w:colFirst="0" w:colLast="0" w:name="_heading=h.z93erkm2b7vf" w:id="0"/>
      <w:bookmarkEnd w:id="0"/>
      <w:r w:rsidDel="00000000" w:rsidR="00000000" w:rsidRPr="00000000">
        <w:rPr>
          <w:rtl w:val="0"/>
        </w:rPr>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shd w:fill="ccc1d9" w:val="clear"/>
        <w:spacing w:after="200" w:lineRule="auto"/>
        <w:rPr/>
      </w:pPr>
      <w:r w:rsidDel="00000000" w:rsidR="00000000" w:rsidRPr="00000000">
        <w:rPr>
          <w:b w:val="1"/>
          <w:bCs w:val="1"/>
          <w:rtl w:val="0"/>
        </w:rPr>
        <w:t xml:space="preserve">4:45-6:00</w:t>
        <w:tab/>
        <w:t xml:space="preserve">Plenary: Migration, Politics, and Sanctuary in San Francisco</w:t>
      </w:r>
      <w:r w:rsidDel="00000000" w:rsidR="00000000" w:rsidRPr="00000000">
        <w:rPr>
          <w:rtl w:val="0"/>
        </w:rPr>
      </w:r>
    </w:p>
    <w:p w:rsidR="00000000" w:rsidDel="00000000" w:rsidP="00000000" w:rsidRDefault="00000000" w:rsidRPr="00000000" w14:paraId="0000003C">
      <w:pPr>
        <w:spacing w:after="200" w:lineRule="auto"/>
        <w:rPr/>
      </w:pPr>
      <w:r w:rsidDel="00000000" w:rsidR="00000000" w:rsidRPr="00000000">
        <w:rPr>
          <w:b w:val="1"/>
          <w:bCs w:val="1"/>
          <w:rtl w:val="0"/>
        </w:rPr>
        <w:t xml:space="preserve">Professor Bill Ong Hing, </w:t>
      </w:r>
      <w:r w:rsidDel="00000000" w:rsidR="00000000" w:rsidRPr="00000000">
        <w:rPr>
          <w:rtl w:val="0"/>
        </w:rPr>
        <w:t xml:space="preserve">Founding Director of the Immigration and Deportation Defense Clinic, University of San Francisco and [TBD]</w:t>
      </w:r>
    </w:p>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between w:space="0" w:sz="0" w:val="nil"/>
        </w:pBdr>
        <w:shd w:fill="d7e3bc" w:val="clear"/>
        <w:spacing w:after="200" w:lineRule="auto"/>
        <w:ind w:left="1440" w:hanging="1440"/>
        <w:rPr>
          <w:b w:val="1"/>
          <w:bCs w:val="1"/>
          <w:i w:val="1"/>
          <w:iCs w:val="1"/>
          <w:color w:val="000000"/>
        </w:rPr>
      </w:pPr>
      <w:r w:rsidDel="00000000" w:rsidR="00000000" w:rsidRPr="00000000">
        <w:rPr>
          <w:b w:val="1"/>
          <w:bCs w:val="1"/>
          <w:rtl w:val="0"/>
        </w:rPr>
        <w:t xml:space="preserve">3:10-4:40</w:t>
      </w:r>
      <w:r w:rsidDel="00000000" w:rsidR="00000000" w:rsidRPr="00000000">
        <w:rPr>
          <w:b w:val="1"/>
          <w:bCs w:val="1"/>
          <w:color w:val="000000"/>
          <w:rtl w:val="0"/>
        </w:rPr>
        <w:tab/>
        <w:t xml:space="preserve">Session V: Artificial Intelligence</w:t>
      </w:r>
      <w:r w:rsidDel="00000000" w:rsidR="00000000" w:rsidRPr="00000000">
        <w:rPr>
          <w:rtl w:val="0"/>
        </w:rPr>
      </w:r>
    </w:p>
    <w:p w:rsidR="00000000" w:rsidDel="00000000" w:rsidP="00000000" w:rsidRDefault="00000000" w:rsidRPr="00000000" w14:paraId="0000003F">
      <w:pPr>
        <w:rPr>
          <w:i w:val="1"/>
          <w:iCs w:val="1"/>
          <w:color w:val="000000"/>
        </w:rPr>
      </w:pPr>
      <w:r w:rsidDel="00000000" w:rsidR="00000000" w:rsidRPr="00000000">
        <w:rPr>
          <w:i w:val="1"/>
          <w:iCs w:val="1"/>
          <w:color w:val="000000"/>
          <w:rtl w:val="0"/>
        </w:rPr>
        <w:t xml:space="preserve">Chair: Mark Purcell, University of Washington</w:t>
      </w:r>
    </w:p>
    <w:p w:rsidR="00000000" w:rsidDel="00000000" w:rsidP="00000000" w:rsidRDefault="00000000" w:rsidRPr="00000000" w14:paraId="00000040">
      <w:pPr>
        <w:shd w:fill="fcfcfc" w:val="clear"/>
        <w:rPr>
          <w:color w:val="000000"/>
          <w:highlight w:val="white"/>
        </w:rPr>
      </w:pPr>
      <w:r w:rsidDel="00000000" w:rsidR="00000000" w:rsidRPr="00000000">
        <w:rPr>
          <w:rtl w:val="0"/>
        </w:rPr>
      </w:r>
    </w:p>
    <w:p w:rsidR="00000000" w:rsidDel="00000000" w:rsidP="00000000" w:rsidRDefault="00000000" w:rsidRPr="00000000" w14:paraId="00000041">
      <w:pPr>
        <w:shd w:fill="fcfcfc" w:val="clear"/>
        <w:rPr>
          <w:b w:val="1"/>
          <w:bCs w:val="1"/>
          <w:color w:val="000000"/>
        </w:rPr>
      </w:pPr>
      <w:r w:rsidDel="00000000" w:rsidR="00000000" w:rsidRPr="00000000">
        <w:rPr>
          <w:b w:val="1"/>
          <w:bCs w:val="1"/>
          <w:color w:val="000000"/>
          <w:rtl w:val="0"/>
        </w:rPr>
        <w:t xml:space="preserve">Agentic Geopolitics: The Critical Geopolitics of ChatGPT and Deepseek in US-China Relations, </w:t>
      </w:r>
      <w:r w:rsidDel="00000000" w:rsidR="00000000" w:rsidRPr="00000000">
        <w:rPr>
          <w:color w:val="000000"/>
          <w:rtl w:val="0"/>
        </w:rPr>
        <w:t xml:space="preserve">Tom Narins (University at Albany); Davide Zoppolato</w:t>
      </w:r>
      <w:r w:rsidDel="00000000" w:rsidR="00000000" w:rsidRPr="00000000">
        <w:rPr>
          <w:rtl w:val="0"/>
        </w:rPr>
      </w:r>
    </w:p>
    <w:p w:rsidR="00000000" w:rsidDel="00000000" w:rsidP="00000000" w:rsidRDefault="00000000" w:rsidRPr="00000000" w14:paraId="00000042">
      <w:pPr>
        <w:shd w:fill="fcfcfc" w:val="clear"/>
        <w:rPr>
          <w:b w:val="1"/>
          <w:bCs w:val="1"/>
          <w:color w:val="000000"/>
        </w:rPr>
      </w:pPr>
      <w:r w:rsidDel="00000000" w:rsidR="00000000" w:rsidRPr="00000000">
        <w:rPr>
          <w:rtl w:val="0"/>
        </w:rPr>
      </w:r>
    </w:p>
    <w:p w:rsidR="00000000" w:rsidDel="00000000" w:rsidP="00000000" w:rsidRDefault="00000000" w:rsidRPr="00000000" w14:paraId="00000043">
      <w:pPr>
        <w:shd w:fill="fcfcfc" w:val="clear"/>
        <w:rPr>
          <w:color w:val="000000"/>
        </w:rPr>
      </w:pPr>
      <w:r w:rsidDel="00000000" w:rsidR="00000000" w:rsidRPr="00000000">
        <w:rPr>
          <w:color w:val="000000"/>
          <w:rtl w:val="0"/>
        </w:rPr>
        <w:t xml:space="preserve">Large language models (LLMs) have rapidly become central infrastructures through which geopolitical narratives are produced, circulated, and increasingly consumed. Far from being passive tools, these systems function as geopolitical actors in their own right and are able to shape how the world is imagined, categorized, and contested. Despite critical geopolitics’ longstanding concern with the social construction of space and power, there has been little engagement with how LLMs participate in the reproduction of geopolitical hierarchies, subjectivities, and spatial imaginaries. What is missing is a deeper conceptual and empirically-grounded interrogation of how LLMs contribute to the discursive construction of geopolitics. Focusing on both text and image generation, we conduct a series of prompt-based experiments centered around critical geopolitics. Our analysis interrogates the underlying discursive logics, spatial assumptions, and representational practices mobilized by critical geopolitics. We show how LLMs contribute to the naturalization of particular geopolitical representations, the reinforcement of dominant power hierarchies, and the naturalization of too familiar binaries such as East/West, ally/enemy, and developed/underdeveloped. We argue that LLMs participate in the production and circulation of geopolitical discourse through what we term agentic geopolitics where computational systems assume an active role in shaping spatial imaginaries and political hierarchies. This is particularly significant given the growing reliance on these models and their capacity to subtly reinforce dominant narratives while marginalizing alternative or subaltern perspectives, especially those emerging from the Global South.</w:t>
      </w:r>
    </w:p>
    <w:p w:rsidR="00000000" w:rsidDel="00000000" w:rsidP="00000000" w:rsidRDefault="00000000" w:rsidRPr="00000000" w14:paraId="00000044">
      <w:pPr>
        <w:shd w:fill="fcfcfc" w:val="clear"/>
        <w:rPr>
          <w:b w:val="1"/>
          <w:bCs w:val="1"/>
          <w:color w:val="000000"/>
        </w:rPr>
      </w:pPr>
      <w:r w:rsidDel="00000000" w:rsidR="00000000" w:rsidRPr="00000000">
        <w:rPr>
          <w:rtl w:val="0"/>
        </w:rPr>
      </w:r>
    </w:p>
    <w:p w:rsidR="00000000" w:rsidDel="00000000" w:rsidP="00000000" w:rsidRDefault="00000000" w:rsidRPr="00000000" w14:paraId="00000045">
      <w:pPr>
        <w:shd w:fill="fcfcfc" w:val="clear"/>
        <w:rPr>
          <w:color w:val="000000"/>
        </w:rPr>
      </w:pPr>
      <w:r w:rsidDel="00000000" w:rsidR="00000000" w:rsidRPr="00000000">
        <w:rPr>
          <w:b w:val="1"/>
          <w:bCs w:val="1"/>
          <w:color w:val="000000"/>
          <w:rtl w:val="0"/>
        </w:rPr>
        <w:t xml:space="preserve">The Implications of AI for Critical Thinking About Political Regions, </w:t>
      </w:r>
      <w:r w:rsidDel="00000000" w:rsidR="00000000" w:rsidRPr="00000000">
        <w:rPr>
          <w:color w:val="000000"/>
          <w:rtl w:val="0"/>
        </w:rPr>
        <w:t xml:space="preserve">Alexander (Alec) Murphy (University of Oregon)</w:t>
      </w:r>
    </w:p>
    <w:p w:rsidR="00000000" w:rsidDel="00000000" w:rsidP="00000000" w:rsidRDefault="00000000" w:rsidRPr="00000000" w14:paraId="00000046">
      <w:pPr>
        <w:shd w:fill="fcfcfc" w:val="clear"/>
        <w:rPr>
          <w:color w:val="000000"/>
        </w:rPr>
      </w:pPr>
      <w:r w:rsidDel="00000000" w:rsidR="00000000" w:rsidRPr="00000000">
        <w:rPr>
          <w:rtl w:val="0"/>
        </w:rPr>
      </w:r>
    </w:p>
    <w:p w:rsidR="00000000" w:rsidDel="00000000" w:rsidP="00000000" w:rsidRDefault="00000000" w:rsidRPr="00000000" w14:paraId="00000047">
      <w:pPr>
        <w:shd w:fill="fcfcfc" w:val="clear"/>
        <w:rPr>
          <w:color w:val="000000"/>
        </w:rPr>
      </w:pPr>
      <w:r w:rsidDel="00000000" w:rsidR="00000000" w:rsidRPr="00000000">
        <w:rPr>
          <w:color w:val="000000"/>
          <w:rtl w:val="0"/>
        </w:rPr>
        <w:t xml:space="preserve">As a discipline concerned with spatial arrangements and understandings, one of geography’s signal contributions is to promote critical thinking about regions. That is particularly true of political geography given the general tendency to base regional conceptions on political-territorial arrangements. The contributions of political geographers in this regard have drawn attention to matters ranging from the geographical blind spots of grand geopolitical conceptions (e.g., ‘Clash of Civilizations’) to the problematic tendency to treat state and substate territorial arrangements as spatial givens, rather than as social constructs. </w:t>
      </w:r>
    </w:p>
    <w:p w:rsidR="00000000" w:rsidDel="00000000" w:rsidP="00000000" w:rsidRDefault="00000000" w:rsidRPr="00000000" w14:paraId="00000048">
      <w:pPr>
        <w:shd w:fill="fcfcfc" w:val="clear"/>
        <w:rPr>
          <w:color w:val="000000"/>
        </w:rPr>
      </w:pPr>
      <w:r w:rsidDel="00000000" w:rsidR="00000000" w:rsidRPr="00000000">
        <w:rPr>
          <w:rtl w:val="0"/>
        </w:rPr>
      </w:r>
    </w:p>
    <w:p w:rsidR="00000000" w:rsidDel="00000000" w:rsidP="00000000" w:rsidRDefault="00000000" w:rsidRPr="00000000" w14:paraId="00000049">
      <w:pPr>
        <w:shd w:fill="fcfcfc" w:val="clear"/>
        <w:rPr>
          <w:color w:val="000000"/>
          <w:highlight w:val="white"/>
        </w:rPr>
      </w:pPr>
      <w:r w:rsidDel="00000000" w:rsidR="00000000" w:rsidRPr="00000000">
        <w:rPr>
          <w:color w:val="000000"/>
          <w:rtl w:val="0"/>
        </w:rPr>
        <w:t xml:space="preserve">The growing use of AI raises fundamental challenges in this regard, as AI queries about political regions tend to reflect the blind spots and problematic tendencies that infuse much general thinking about regions. Examples from three different scales (substate, continental, and global) point to the challenge of promoting critical thinking about political regions in the increasingly AI-infused environment we inhabit. At the same time, recognizing and highlighting this challenge could offer political geographers new opportunities to draw attention to why geographic thinking is needed in the contemporary moment.</w:t>
      </w:r>
      <w:r w:rsidDel="00000000" w:rsidR="00000000" w:rsidRPr="00000000">
        <w:rPr>
          <w:rtl w:val="0"/>
        </w:rPr>
      </w:r>
    </w:p>
    <w:p w:rsidR="00000000" w:rsidDel="00000000" w:rsidP="00000000" w:rsidRDefault="00000000" w:rsidRPr="00000000" w14:paraId="0000004A">
      <w:pPr>
        <w:shd w:fill="fcfcfc" w:val="clear"/>
        <w:rPr>
          <w:b w:val="1"/>
          <w:bCs w:val="1"/>
          <w:color w:val="000000"/>
        </w:rPr>
      </w:pPr>
      <w:r w:rsidDel="00000000" w:rsidR="00000000" w:rsidRPr="00000000">
        <w:rPr>
          <w:rtl w:val="0"/>
        </w:rPr>
      </w:r>
    </w:p>
    <w:p w:rsidR="00000000" w:rsidDel="00000000" w:rsidP="00000000" w:rsidRDefault="00000000" w:rsidRPr="00000000" w14:paraId="0000004B">
      <w:pPr>
        <w:shd w:fill="fcfcfc" w:val="clear"/>
        <w:rPr>
          <w:color w:val="000000"/>
        </w:rPr>
      </w:pPr>
      <w:r w:rsidDel="00000000" w:rsidR="00000000" w:rsidRPr="00000000">
        <w:rPr>
          <w:b w:val="1"/>
          <w:bCs w:val="1"/>
          <w:color w:val="000000"/>
          <w:rtl w:val="0"/>
        </w:rPr>
        <w:t xml:space="preserve">Advancing Analytical Geopolitics Through the Integration of AI Tools, </w:t>
      </w:r>
      <w:r w:rsidDel="00000000" w:rsidR="00000000" w:rsidRPr="00000000">
        <w:rPr>
          <w:color w:val="000000"/>
          <w:rtl w:val="0"/>
        </w:rPr>
        <w:t xml:space="preserve">Nuno Morgado (Corvinus University)</w:t>
      </w:r>
    </w:p>
    <w:p w:rsidR="00000000" w:rsidDel="00000000" w:rsidP="00000000" w:rsidRDefault="00000000" w:rsidRPr="00000000" w14:paraId="0000004C">
      <w:pPr>
        <w:shd w:fill="fcfcfc" w:val="clear"/>
        <w:rPr>
          <w:color w:val="000000"/>
        </w:rPr>
      </w:pPr>
      <w:r w:rsidDel="00000000" w:rsidR="00000000" w:rsidRPr="00000000">
        <w:rPr>
          <w:rtl w:val="0"/>
        </w:rPr>
      </w:r>
    </w:p>
    <w:p w:rsidR="00000000" w:rsidDel="00000000" w:rsidP="00000000" w:rsidRDefault="00000000" w:rsidRPr="00000000" w14:paraId="0000004D">
      <w:pPr>
        <w:shd w:fill="fcfcfc" w:val="clear"/>
        <w:rPr>
          <w:color w:val="000000"/>
        </w:rPr>
      </w:pPr>
      <w:r w:rsidDel="00000000" w:rsidR="00000000" w:rsidRPr="00000000">
        <w:rPr>
          <w:color w:val="000000"/>
          <w:rtl w:val="0"/>
        </w:rPr>
        <w:t xml:space="preserve">The convergence of Artificial Intelligence (AI) with analytical geopolitics represents a promising revolution in the study of international relations. Machine learning excels at processing vast datasets to identify patterns in geopolitical events but struggles with tasks that require real-world knowledge, nuanced understanding, and up-to-date information. First, an analytical geopolitics framework identifies both structural and agent-based drivers to explain geopolitical phenomena. These insights also inform the preprocessing of event data by guiding the differential weighting of conflict events based on their geopolitical salience. Second, an AI-based forecasting model is developed, leveraging event data from the Global Database of Events, Language, and Tone (GDELT) and Global Peace Index (GPI) scores to predict monthly changes.</w:t>
      </w:r>
    </w:p>
    <w:p w:rsidR="00000000" w:rsidDel="00000000" w:rsidP="00000000" w:rsidRDefault="00000000" w:rsidRPr="00000000" w14:paraId="0000004E">
      <w:pPr>
        <w:shd w:fill="fcfcfc" w:val="clear"/>
        <w:rPr>
          <w:color w:val="000000"/>
        </w:rPr>
      </w:pPr>
      <w:r w:rsidDel="00000000" w:rsidR="00000000" w:rsidRPr="00000000">
        <w:rPr>
          <w:rtl w:val="0"/>
        </w:rPr>
      </w:r>
    </w:p>
    <w:p w:rsidR="00000000" w:rsidDel="00000000" w:rsidP="00000000" w:rsidRDefault="00000000" w:rsidRPr="00000000" w14:paraId="0000004F">
      <w:pPr>
        <w:shd w:fill="fcfcfc" w:val="clear"/>
        <w:rPr>
          <w:color w:val="000000"/>
        </w:rPr>
      </w:pPr>
      <w:r w:rsidDel="00000000" w:rsidR="00000000" w:rsidRPr="00000000">
        <w:rPr>
          <w:color w:val="000000"/>
          <w:rtl w:val="0"/>
        </w:rPr>
        <w:t xml:space="preserve">To address the existing gap, this paper explores the potential of Generative AI (GenAI)—particularly Large Language Models (LLMs) and Retrieval-Augmented Generation (RAG) systems—as tools to enhance geopolitical analysis and, consequently, predictive accuracy.</w:t>
      </w:r>
    </w:p>
    <w:p w:rsidR="00000000" w:rsidDel="00000000" w:rsidP="00000000" w:rsidRDefault="00000000" w:rsidRPr="00000000" w14:paraId="00000050">
      <w:pPr>
        <w:shd w:fill="fcfcfc" w:val="clear"/>
        <w:rPr>
          <w:color w:val="000000"/>
          <w:highlight w:val="white"/>
        </w:rPr>
      </w:pPr>
      <w:r w:rsidDel="00000000" w:rsidR="00000000" w:rsidRPr="00000000">
        <w:rPr>
          <w:color w:val="000000"/>
          <w:rtl w:val="0"/>
        </w:rPr>
        <w:t xml:space="preserve">The paper introduces LLM4Geopolitics, a novel framework that leverages LLMs to overcome these limitations and improve prediction and analysis. Anticipating international conflicts is critical for geopolitical risk assessment and early warning. By integrating causal geopolitical reasoning with machine learning, this study offers a more robust and interpretable framework for forecasting emerging crises.</w:t>
      </w:r>
      <w:r w:rsidDel="00000000" w:rsidR="00000000" w:rsidRPr="00000000">
        <w:rPr>
          <w:rtl w:val="0"/>
        </w:rPr>
      </w:r>
    </w:p>
    <w:p w:rsidR="00000000" w:rsidDel="00000000" w:rsidP="00000000" w:rsidRDefault="00000000" w:rsidRPr="00000000" w14:paraId="00000051">
      <w:pPr>
        <w:rPr>
          <w:b w:val="1"/>
          <w:bCs w:val="1"/>
          <w:color w:val="000000"/>
        </w:rPr>
      </w:pPr>
      <w:r w:rsidDel="00000000" w:rsidR="00000000" w:rsidRPr="00000000">
        <w:rPr>
          <w:rtl w:val="0"/>
        </w:rPr>
      </w:r>
    </w:p>
    <w:p w:rsidR="00000000" w:rsidDel="00000000" w:rsidP="00000000" w:rsidRDefault="00000000" w:rsidRPr="00000000" w14:paraId="00000052">
      <w:pPr>
        <w:rPr>
          <w:color w:val="000000"/>
          <w:highlight w:val="yellow"/>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between w:space="0" w:sz="0" w:val="nil"/>
        </w:pBdr>
        <w:shd w:fill="d7e3bc" w:val="clear"/>
        <w:spacing w:after="200" w:lineRule="auto"/>
        <w:ind w:left="1440" w:hanging="1440"/>
        <w:rPr>
          <w:b w:val="1"/>
          <w:bCs w:val="1"/>
          <w:i w:val="1"/>
          <w:iCs w:val="1"/>
          <w:color w:val="000000"/>
        </w:rPr>
      </w:pPr>
      <w:r w:rsidDel="00000000" w:rsidR="00000000" w:rsidRPr="00000000">
        <w:rPr>
          <w:b w:val="1"/>
          <w:bCs w:val="1"/>
          <w:rtl w:val="0"/>
        </w:rPr>
        <w:t xml:space="preserve">3:10-4:40</w:t>
      </w:r>
      <w:r w:rsidDel="00000000" w:rsidR="00000000" w:rsidRPr="00000000">
        <w:rPr>
          <w:b w:val="1"/>
          <w:bCs w:val="1"/>
          <w:color w:val="000000"/>
          <w:rtl w:val="0"/>
        </w:rPr>
        <w:tab/>
        <w:t xml:space="preserve">Session VI: Development</w:t>
      </w:r>
      <w:r w:rsidDel="00000000" w:rsidR="00000000" w:rsidRPr="00000000">
        <w:rPr>
          <w:rtl w:val="0"/>
        </w:rPr>
      </w:r>
    </w:p>
    <w:p w:rsidR="00000000" w:rsidDel="00000000" w:rsidP="00000000" w:rsidRDefault="00000000" w:rsidRPr="00000000" w14:paraId="00000054">
      <w:pPr>
        <w:shd w:fill="fcfcfc" w:val="clear"/>
        <w:rPr>
          <w:color w:val="000000"/>
          <w:highlight w:val="white"/>
        </w:rPr>
      </w:pPr>
      <w:r w:rsidDel="00000000" w:rsidR="00000000" w:rsidRPr="00000000">
        <w:rPr>
          <w:i w:val="1"/>
          <w:iCs w:val="1"/>
          <w:color w:val="000000"/>
          <w:rtl w:val="0"/>
        </w:rPr>
        <w:t xml:space="preserve">Chair: </w:t>
      </w:r>
      <w:r w:rsidDel="00000000" w:rsidR="00000000" w:rsidRPr="00000000">
        <w:rPr>
          <w:i w:val="1"/>
          <w:iCs w:val="1"/>
          <w:rtl w:val="0"/>
        </w:rPr>
        <w:t xml:space="preserve">Lindsay Naylor, University of Delaware</w:t>
      </w:r>
      <w:r w:rsidDel="00000000" w:rsidR="00000000" w:rsidRPr="00000000">
        <w:rPr>
          <w:rtl w:val="0"/>
        </w:rPr>
      </w:r>
    </w:p>
    <w:p w:rsidR="00000000" w:rsidDel="00000000" w:rsidP="00000000" w:rsidRDefault="00000000" w:rsidRPr="00000000" w14:paraId="00000055">
      <w:pPr>
        <w:rPr>
          <w:i w:val="1"/>
          <w:iCs w:val="1"/>
          <w:color w:val="000000"/>
        </w:rPr>
      </w:pPr>
      <w:r w:rsidDel="00000000" w:rsidR="00000000" w:rsidRPr="00000000">
        <w:rPr>
          <w:rtl w:val="0"/>
        </w:rPr>
      </w:r>
    </w:p>
    <w:p w:rsidR="00000000" w:rsidDel="00000000" w:rsidP="00000000" w:rsidRDefault="00000000" w:rsidRPr="00000000" w14:paraId="00000056">
      <w:pPr>
        <w:shd w:fill="fcfcfc" w:val="clear"/>
        <w:rPr>
          <w:color w:val="000000"/>
        </w:rPr>
      </w:pPr>
      <w:r w:rsidDel="00000000" w:rsidR="00000000" w:rsidRPr="00000000">
        <w:rPr>
          <w:b w:val="1"/>
          <w:bCs w:val="1"/>
          <w:color w:val="000000"/>
          <w:rtl w:val="0"/>
        </w:rPr>
        <w:t xml:space="preserve">Visions of Progress and Precarious Realities: The Politics of Cambodia’s Funan Techo Canal, </w:t>
      </w:r>
      <w:r w:rsidDel="00000000" w:rsidR="00000000" w:rsidRPr="00000000">
        <w:rPr>
          <w:color w:val="000000"/>
          <w:rtl w:val="0"/>
        </w:rPr>
        <w:t xml:space="preserve">Leo Baldiga (Michigan State University); Soksamphoas Im, Kaley Clements, Junyi Yu, Veasna Ky</w:t>
      </w:r>
    </w:p>
    <w:p w:rsidR="00000000" w:rsidDel="00000000" w:rsidP="00000000" w:rsidRDefault="00000000" w:rsidRPr="00000000" w14:paraId="00000057">
      <w:pPr>
        <w:shd w:fill="fcfcfc" w:val="clear"/>
        <w:rPr>
          <w:color w:val="000000"/>
        </w:rPr>
      </w:pPr>
      <w:r w:rsidDel="00000000" w:rsidR="00000000" w:rsidRPr="00000000">
        <w:rPr>
          <w:rtl w:val="0"/>
        </w:rPr>
      </w:r>
    </w:p>
    <w:p w:rsidR="00000000" w:rsidDel="00000000" w:rsidP="00000000" w:rsidRDefault="00000000" w:rsidRPr="00000000" w14:paraId="00000058">
      <w:pPr>
        <w:shd w:fill="fcfcfc" w:val="clear"/>
        <w:rPr>
          <w:color w:val="000000"/>
        </w:rPr>
      </w:pPr>
      <w:r w:rsidDel="00000000" w:rsidR="00000000" w:rsidRPr="00000000">
        <w:rPr>
          <w:color w:val="000000"/>
          <w:rtl w:val="0"/>
        </w:rPr>
        <w:t xml:space="preserve">This paper interrogates the promises and precarities of Cambodia’s Funan Techo Canal megaproject. While officially celebrated as an engine of national prestige and economic autonomy, ongoing delays, contested financing, and lack of transparent planning have sowed uncertainty among affected populations and regional neighbors. Preliminary analysis incorporates descriptive narratives from social and traditional media regarding the canal and Cambodia’s geostrategic position within the region, and triangulates them with ethnographic data collected from interviews with affected populations to trace how nationalism, undisclosed information, shifting media narratives, and ambiguity around the scope, scale, and impacts of the project are shaping disputes over water rights, border reconfigurations, compensation, and potential dispossession. Preliminary findings are revealing of uncertainty as a central feature of infrastructure-led geopolitical and economic transformations in the Mekong Basin – ultimately, the new canal project canal highlights the contradictions between grand visions of progress and the realities of forced displacement and contested sovereignty in contemporary Southeast Asia.</w:t>
      </w:r>
    </w:p>
    <w:p w:rsidR="00000000" w:rsidDel="00000000" w:rsidP="00000000" w:rsidRDefault="00000000" w:rsidRPr="00000000" w14:paraId="00000059">
      <w:pPr>
        <w:shd w:fill="fcfcfc" w:val="clear"/>
        <w:rPr>
          <w:b w:val="1"/>
          <w:bCs w:val="1"/>
          <w:color w:val="000000"/>
          <w:highlight w:val="white"/>
        </w:rPr>
      </w:pPr>
      <w:r w:rsidDel="00000000" w:rsidR="00000000" w:rsidRPr="00000000">
        <w:rPr>
          <w:rtl w:val="0"/>
        </w:rPr>
      </w:r>
    </w:p>
    <w:p w:rsidR="00000000" w:rsidDel="00000000" w:rsidP="00000000" w:rsidRDefault="00000000" w:rsidRPr="00000000" w14:paraId="0000005A">
      <w:pPr>
        <w:shd w:fill="fcfcfc" w:val="clear"/>
        <w:rPr>
          <w:color w:val="000000"/>
        </w:rPr>
      </w:pPr>
      <w:r w:rsidDel="00000000" w:rsidR="00000000" w:rsidRPr="00000000">
        <w:rPr>
          <w:b w:val="1"/>
          <w:bCs w:val="1"/>
          <w:color w:val="000000"/>
          <w:rtl w:val="0"/>
        </w:rPr>
        <w:t xml:space="preserve">Restor(y)ing Coco Palms: Kānaka 'Ōiwi Restoration in Wailua, Kauaʻi, </w:t>
      </w:r>
      <w:r w:rsidDel="00000000" w:rsidR="00000000" w:rsidRPr="00000000">
        <w:rPr>
          <w:color w:val="000000"/>
          <w:rtl w:val="0"/>
        </w:rPr>
        <w:t xml:space="preserve">Keegan Kessler (University of Hawaiʻi at Mānoa)</w:t>
      </w:r>
    </w:p>
    <w:p w:rsidR="00000000" w:rsidDel="00000000" w:rsidP="00000000" w:rsidRDefault="00000000" w:rsidRPr="00000000" w14:paraId="0000005B">
      <w:pPr>
        <w:shd w:fill="fcfcfc" w:val="clear"/>
        <w:rPr>
          <w:color w:val="000000"/>
        </w:rPr>
      </w:pPr>
      <w:r w:rsidDel="00000000" w:rsidR="00000000" w:rsidRPr="00000000">
        <w:rPr>
          <w:rtl w:val="0"/>
        </w:rPr>
      </w:r>
    </w:p>
    <w:p w:rsidR="00000000" w:rsidDel="00000000" w:rsidP="00000000" w:rsidRDefault="00000000" w:rsidRPr="00000000" w14:paraId="0000005C">
      <w:pPr>
        <w:shd w:fill="fcfcfc" w:val="clear"/>
        <w:rPr>
          <w:color w:val="000000"/>
        </w:rPr>
      </w:pPr>
      <w:r w:rsidDel="00000000" w:rsidR="00000000" w:rsidRPr="00000000">
        <w:rPr>
          <w:color w:val="000000"/>
          <w:rtl w:val="0"/>
        </w:rPr>
        <w:t xml:space="preserve">This paper examines the story of the Coco Palms Resort, diving into its complex history and contentious redevelopment through the intersections of tourism development and indigenous resilience. Employing a mixed methods approach that integrates a Kānaka 'Ōiwi (Native Hawaiian) geography with "talk story" and "follow the thing" methodologies, this research prioritizes 'Ōiwi epistemology through the sharing of local perspectives to present Wailua as a deeply storied place. In the heart of Wailua, Kaua'i, the once renowned tourist destination was heavily damaged by the 1992 Hurricane Iniki. For thirty years, Coco Palms remained abandoned and decaying, falling into the background of everyday life in Wailua. However, in 2022, black silt fences surrounded the old buildings, signaling a reconstruction effort to revive Coco Palms that has reignited long-standing debates over land and culture. Through thematic, content, and spatial analyses, this study identifies central themes of generational memory, restoration, and aloha ‘āina. These findings illuminate how 'Ōiwi reinscriptions of meaning onto space and place function as acts of resilience within Hawai'i's "post"-colonial context. By framing Wailua's cultural significance within the present-day struggles with Coco Palms, this paper prompts a broader conversation on reimagining tourism development to prioritize 'Ōiwi well-being, community involvement, and sustainable futures.</w:t>
      </w:r>
    </w:p>
    <w:p w:rsidR="00000000" w:rsidDel="00000000" w:rsidP="00000000" w:rsidRDefault="00000000" w:rsidRPr="00000000" w14:paraId="0000005D">
      <w:pPr>
        <w:shd w:fill="fcfcfc" w:val="clear"/>
        <w:rPr>
          <w:b w:val="1"/>
          <w:bCs w:val="1"/>
          <w:color w:val="000000"/>
        </w:rPr>
      </w:pPr>
      <w:r w:rsidDel="00000000" w:rsidR="00000000" w:rsidRPr="00000000">
        <w:rPr>
          <w:rtl w:val="0"/>
        </w:rPr>
      </w:r>
    </w:p>
    <w:p w:rsidR="00000000" w:rsidDel="00000000" w:rsidP="00000000" w:rsidRDefault="00000000" w:rsidRPr="00000000" w14:paraId="0000005E">
      <w:pPr>
        <w:shd w:fill="fcfcfc" w:val="clear"/>
        <w:rPr>
          <w:color w:val="000000"/>
        </w:rPr>
      </w:pPr>
      <w:r w:rsidDel="00000000" w:rsidR="00000000" w:rsidRPr="00000000">
        <w:rPr>
          <w:b w:val="1"/>
          <w:bCs w:val="1"/>
          <w:color w:val="000000"/>
          <w:rtl w:val="0"/>
        </w:rPr>
        <w:t xml:space="preserve">Exposing Slow Violence: Photography and the Maya Train in Mexico’s Yucatán Peninsula, </w:t>
      </w:r>
      <w:r w:rsidDel="00000000" w:rsidR="00000000" w:rsidRPr="00000000">
        <w:rPr>
          <w:color w:val="000000"/>
          <w:rtl w:val="0"/>
        </w:rPr>
        <w:t xml:space="preserve">Irma Losada (University of California, Los Angeles)</w:t>
      </w:r>
    </w:p>
    <w:p w:rsidR="00000000" w:rsidDel="00000000" w:rsidP="00000000" w:rsidRDefault="00000000" w:rsidRPr="00000000" w14:paraId="0000005F">
      <w:pPr>
        <w:shd w:fill="fcfcfc" w:val="clear"/>
        <w:rPr>
          <w:color w:val="000000"/>
        </w:rPr>
      </w:pPr>
      <w:r w:rsidDel="00000000" w:rsidR="00000000" w:rsidRPr="00000000">
        <w:rPr>
          <w:rtl w:val="0"/>
        </w:rPr>
      </w:r>
    </w:p>
    <w:p w:rsidR="00000000" w:rsidDel="00000000" w:rsidP="00000000" w:rsidRDefault="00000000" w:rsidRPr="00000000" w14:paraId="00000060">
      <w:pPr>
        <w:shd w:fill="fcfcfc" w:val="clear"/>
        <w:rPr>
          <w:color w:val="000000"/>
        </w:rPr>
      </w:pPr>
      <w:r w:rsidDel="00000000" w:rsidR="00000000" w:rsidRPr="00000000">
        <w:rPr>
          <w:color w:val="000000"/>
          <w:rtl w:val="0"/>
        </w:rPr>
        <w:t xml:space="preserve">The Maya Train, a 1,525km-long passenger train traversing five states in Southeast Mexico, began operating in 2024. The train promises to bring prosperity, connectivity, and tourism to the region. But Maya communities living along the train’s seven routes view this megaproject differently, as they are experiencing the intertwined forms of violence produced by it: displacement, increased militarization, the privatization of ejidos (communal lands), the sacrifice of archaeological remains, and the endangerment of entire ecosystems, including one of the largest aquifers in the world. Drawing from a photovoice project conducted in Felipe Carrillo Puerto (Quintana Róo), and from photographs taken by the activist collective 'Sélvame del tren,' this paper argues that photography can uncover the Maya Train’s production of “fast” and “slow” violence and what I call the “double invisibility” of Maya communities: on the one hand, they are “unimagined” within the state’s national development plans and, on the other, their experiences of the train’s impacts have been invisibilized. Against this double invisibility, the paper exposes some of the multi-temporal and multi-scalar forms of violence currently experienced in the Yucatán peninsula, thus making a crucial methodological, epistemological, and empirical contribution to the literature on feminist political geography and slow violence. While challenging the state’s unilateral production of expertise, photography exposes what is (visually) important to local communities, containing the potentiality both to report and to reimagine.</w:t>
      </w:r>
    </w:p>
    <w:p w:rsidR="00000000" w:rsidDel="00000000" w:rsidP="00000000" w:rsidRDefault="00000000" w:rsidRPr="00000000" w14:paraId="00000061">
      <w:pPr>
        <w:shd w:fill="fcfcfc" w:val="clear"/>
        <w:rPr>
          <w:color w:val="000000"/>
        </w:rPr>
      </w:pPr>
      <w:r w:rsidDel="00000000" w:rsidR="00000000" w:rsidRPr="00000000">
        <w:rPr>
          <w:rtl w:val="0"/>
        </w:rPr>
      </w:r>
    </w:p>
    <w:p w:rsidR="00000000" w:rsidDel="00000000" w:rsidP="00000000" w:rsidRDefault="00000000" w:rsidRPr="00000000" w14:paraId="00000062">
      <w:pPr>
        <w:shd w:fill="fcfcfc" w:val="clear"/>
        <w:rPr>
          <w:b w:val="1"/>
          <w:bCs w:val="1"/>
          <w:color w:val="000000"/>
        </w:rPr>
      </w:pPr>
      <w:r w:rsidDel="00000000" w:rsidR="00000000" w:rsidRPr="00000000">
        <w:rPr>
          <w:b w:val="1"/>
          <w:bCs w:val="1"/>
          <w:color w:val="000000"/>
          <w:rtl w:val="0"/>
        </w:rPr>
        <w:t xml:space="preserve">When the Dragon Dances on the Roof of the World: Chinese Influence on Tibetans in Nepal </w:t>
      </w:r>
      <w:r w:rsidDel="00000000" w:rsidR="00000000" w:rsidRPr="00000000">
        <w:rPr>
          <w:color w:val="000000"/>
          <w:rtl w:val="0"/>
        </w:rPr>
        <w:t xml:space="preserve">Catherine Caya (Mount Holyoke College)</w:t>
      </w:r>
      <w:r w:rsidDel="00000000" w:rsidR="00000000" w:rsidRPr="00000000">
        <w:rPr>
          <w:rtl w:val="0"/>
        </w:rPr>
      </w:r>
    </w:p>
    <w:p w:rsidR="00000000" w:rsidDel="00000000" w:rsidP="00000000" w:rsidRDefault="00000000" w:rsidRPr="00000000" w14:paraId="00000063">
      <w:pPr>
        <w:shd w:fill="fcfcfc" w:val="clear"/>
        <w:rPr>
          <w:b w:val="1"/>
          <w:bCs w:val="1"/>
          <w:color w:val="000000"/>
        </w:rPr>
      </w:pPr>
      <w:r w:rsidDel="00000000" w:rsidR="00000000" w:rsidRPr="00000000">
        <w:rPr>
          <w:rtl w:val="0"/>
        </w:rPr>
      </w:r>
    </w:p>
    <w:p w:rsidR="00000000" w:rsidDel="00000000" w:rsidP="00000000" w:rsidRDefault="00000000" w:rsidRPr="00000000" w14:paraId="00000064">
      <w:pPr>
        <w:shd w:fill="fcfcfc" w:val="clear"/>
        <w:rPr>
          <w:color w:val="000000"/>
        </w:rPr>
      </w:pPr>
      <w:r w:rsidDel="00000000" w:rsidR="00000000" w:rsidRPr="00000000">
        <w:rPr>
          <w:color w:val="000000"/>
          <w:rtl w:val="0"/>
        </w:rPr>
        <w:t xml:space="preserve">Over the past two decades, Nepal's relationship with China has deepened significantly, driven by economic investments and strategic partnerships. As China's political and economic authority in the region has increased, Nepal has faced mounting pressure to align its policies with Chinese interests, often at the expense of the Tibetan community in the country. Using William and Mary’s AidData Global Chinese Development Finance Dataset, I explore funding provided to Nepal and the relationship between it and the material conditions of Tibetan refugees and other Tibetans living in Nepal. I also investigate China’s investment patterns in other countries to understand the political strings that these investments often come with. Using a mixed methodology of data analysis of Chinese FDI projects in Nepal and qualitative historical analysis of anti-Tibetan actions in Nepal since 2000, I found that the conditions of Chinese FDI have had a profound impact on the lives of Tibetans within Nepal. While data is limited, China’s previous investment patterns alongside Nepalese policy changes suggest that China requires hostile policy towards Tibetans, specifically cultural suppression and refoulement, as a condition for grants. Understanding how this influence shapes the lives of Tibetans living in Nepal is essential for policymakers, human rights advocates, and scholars seeking to address the challenges faced by the Tibetan population in Nepal. This information can explain current patterns of hostility in order to better predict the precarious future of this population and the contingencies of foreign investment in other states.</w:t>
      </w:r>
    </w:p>
    <w:p w:rsidR="00000000" w:rsidDel="00000000" w:rsidP="00000000" w:rsidRDefault="00000000" w:rsidRPr="00000000" w14:paraId="00000065">
      <w:pPr>
        <w:rPr>
          <w:color w:val="000000"/>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between w:space="0" w:sz="0" w:val="nil"/>
        </w:pBdr>
        <w:shd w:fill="d7e3bc" w:val="clear"/>
        <w:spacing w:after="200" w:lineRule="auto"/>
        <w:ind w:left="1440" w:hanging="1440"/>
        <w:rPr>
          <w:b w:val="1"/>
          <w:bCs w:val="1"/>
          <w:i w:val="1"/>
          <w:iCs w:val="1"/>
          <w:color w:val="000000"/>
        </w:rPr>
      </w:pPr>
      <w:r w:rsidDel="00000000" w:rsidR="00000000" w:rsidRPr="00000000">
        <w:rPr>
          <w:b w:val="1"/>
          <w:bCs w:val="1"/>
          <w:rtl w:val="0"/>
        </w:rPr>
        <w:t xml:space="preserve">3:10-4:40</w:t>
      </w:r>
      <w:r w:rsidDel="00000000" w:rsidR="00000000" w:rsidRPr="00000000">
        <w:rPr>
          <w:b w:val="1"/>
          <w:bCs w:val="1"/>
          <w:color w:val="000000"/>
          <w:rtl w:val="0"/>
        </w:rPr>
        <w:tab/>
        <w:t xml:space="preserve">Session VII: Territory</w:t>
      </w:r>
      <w:r w:rsidDel="00000000" w:rsidR="00000000" w:rsidRPr="00000000">
        <w:rPr>
          <w:rtl w:val="0"/>
        </w:rPr>
      </w:r>
    </w:p>
    <w:p w:rsidR="00000000" w:rsidDel="00000000" w:rsidP="00000000" w:rsidRDefault="00000000" w:rsidRPr="00000000" w14:paraId="00000067">
      <w:pPr>
        <w:shd w:fill="fcfcfc" w:val="clear"/>
        <w:rPr>
          <w:i w:val="1"/>
          <w:iCs w:val="1"/>
          <w:color w:val="000000"/>
        </w:rPr>
      </w:pPr>
      <w:r w:rsidDel="00000000" w:rsidR="00000000" w:rsidRPr="00000000">
        <w:rPr>
          <w:i w:val="1"/>
          <w:iCs w:val="1"/>
          <w:color w:val="000000"/>
          <w:rtl w:val="0"/>
        </w:rPr>
        <w:t xml:space="preserve">Chair: Ellen Kohl, University of Maryland, Baltimore County</w:t>
      </w:r>
    </w:p>
    <w:p w:rsidR="00000000" w:rsidDel="00000000" w:rsidP="00000000" w:rsidRDefault="00000000" w:rsidRPr="00000000" w14:paraId="00000068">
      <w:pPr>
        <w:rPr>
          <w:i w:val="1"/>
          <w:iCs w:val="1"/>
          <w:color w:val="000000"/>
        </w:rPr>
      </w:pPr>
      <w:r w:rsidDel="00000000" w:rsidR="00000000" w:rsidRPr="00000000">
        <w:rPr>
          <w:rtl w:val="0"/>
        </w:rPr>
      </w:r>
    </w:p>
    <w:p w:rsidR="00000000" w:rsidDel="00000000" w:rsidP="00000000" w:rsidRDefault="00000000" w:rsidRPr="00000000" w14:paraId="00000069">
      <w:pPr>
        <w:rPr>
          <w:color w:val="000000"/>
        </w:rPr>
      </w:pPr>
      <w:r w:rsidDel="00000000" w:rsidR="00000000" w:rsidRPr="00000000">
        <w:rPr>
          <w:b w:val="1"/>
          <w:bCs w:val="1"/>
          <w:color w:val="000000"/>
          <w:rtl w:val="0"/>
        </w:rPr>
        <w:t xml:space="preserve">From Zonguldak to Ankara, and Back: Coal Miners, State Power, and the Struggle over Scale, </w:t>
      </w:r>
      <w:r w:rsidDel="00000000" w:rsidR="00000000" w:rsidRPr="00000000">
        <w:rPr>
          <w:color w:val="000000"/>
          <w:rtl w:val="0"/>
        </w:rPr>
        <w:t xml:space="preserve">Mehmet Eroğlu, (Michigan State University)</w:t>
      </w:r>
    </w:p>
    <w:p w:rsidR="00000000" w:rsidDel="00000000" w:rsidP="00000000" w:rsidRDefault="00000000" w:rsidRPr="00000000" w14:paraId="0000006A">
      <w:pPr>
        <w:rPr>
          <w:color w:val="000000"/>
        </w:rPr>
      </w:pPr>
      <w:r w:rsidDel="00000000" w:rsidR="00000000" w:rsidRPr="00000000">
        <w:rPr>
          <w:rtl w:val="0"/>
        </w:rPr>
      </w:r>
    </w:p>
    <w:p w:rsidR="00000000" w:rsidDel="00000000" w:rsidP="00000000" w:rsidRDefault="00000000" w:rsidRPr="00000000" w14:paraId="0000006B">
      <w:pPr>
        <w:rPr>
          <w:color w:val="000000"/>
        </w:rPr>
      </w:pPr>
      <w:r w:rsidDel="00000000" w:rsidR="00000000" w:rsidRPr="00000000">
        <w:rPr>
          <w:color w:val="000000"/>
          <w:rtl w:val="0"/>
        </w:rPr>
        <w:t xml:space="preserve">This paper examines the political struggle between coal miners in Zonguldak and the Turkish state from 1980 to 1995. After decades of subsidization, the Turkish state began reducing investment in the Zonguldak coal basin in the early 1980s, leading to rising unemployment and declining real wages throughout the decade. Amid these worsening labor conditions, miners launched a major strike in November 1990, followed by a march from Zonguldak to Ankara, the nation's capital, in January 1991. After several days on the road, law enforcement halted the march, forcing the miners to return to Zonguldak, although the strike itself continued. Later that month, the state canceled all strikes nationwide, using the Gulf War as justification. Despite their visibility and symbolic significance, the strike and march brought few tangible benefits. Between 1990 and 1995, the industry experienced its sharpest employment decline, while Zonguldak provincial boundaries were redrawn, shrinking its territory and political representation. This paper argues that the conflict between miners and the state was essentially shaped by a struggle over scale. Miners sought to transform a localized labor dispute into a national political issue through a mass strike and Ankara march. The state, by contrast, not only asserted its authority at the national scale to suppress mobilization and reconfigure Zonguldak's geography but also drew on a global geopolitical crisis to justify ending dissent. By tracing these competing scalar strategies, the paper contributes to debates on the politics of scale, highlighting how different actors rework scale to pursue political objectives.</w:t>
      </w:r>
    </w:p>
    <w:p w:rsidR="00000000" w:rsidDel="00000000" w:rsidP="00000000" w:rsidRDefault="00000000" w:rsidRPr="00000000" w14:paraId="0000006C">
      <w:pPr>
        <w:shd w:fill="fcfcfc" w:val="clear"/>
        <w:rPr>
          <w:b w:val="1"/>
          <w:bCs w:val="1"/>
          <w:color w:val="000000"/>
          <w:highlight w:val="white"/>
        </w:rPr>
      </w:pPr>
      <w:r w:rsidDel="00000000" w:rsidR="00000000" w:rsidRPr="00000000">
        <w:rPr>
          <w:rtl w:val="0"/>
        </w:rPr>
      </w:r>
    </w:p>
    <w:p w:rsidR="00000000" w:rsidDel="00000000" w:rsidP="00000000" w:rsidRDefault="00000000" w:rsidRPr="00000000" w14:paraId="0000006D">
      <w:pPr>
        <w:shd w:fill="fcfcfc" w:val="clear"/>
        <w:rPr>
          <w:color w:val="000000"/>
        </w:rPr>
      </w:pPr>
      <w:r w:rsidDel="00000000" w:rsidR="00000000" w:rsidRPr="00000000">
        <w:rPr>
          <w:b w:val="1"/>
          <w:bCs w:val="1"/>
          <w:color w:val="000000"/>
          <w:rtl w:val="0"/>
        </w:rPr>
        <w:t xml:space="preserve">New Strategies of Land Control and Dispossession in the West Bank, </w:t>
      </w:r>
      <w:r w:rsidDel="00000000" w:rsidR="00000000" w:rsidRPr="00000000">
        <w:rPr>
          <w:color w:val="000000"/>
          <w:rtl w:val="0"/>
        </w:rPr>
        <w:t xml:space="preserve">Oren Shlomo (The Open University of Israel)</w:t>
      </w:r>
    </w:p>
    <w:p w:rsidR="00000000" w:rsidDel="00000000" w:rsidP="00000000" w:rsidRDefault="00000000" w:rsidRPr="00000000" w14:paraId="0000006E">
      <w:pPr>
        <w:shd w:fill="fcfcfc" w:val="clear"/>
        <w:rPr>
          <w:color w:val="000000"/>
        </w:rPr>
      </w:pPr>
      <w:r w:rsidDel="00000000" w:rsidR="00000000" w:rsidRPr="00000000">
        <w:rPr>
          <w:rtl w:val="0"/>
        </w:rPr>
      </w:r>
    </w:p>
    <w:p w:rsidR="00000000" w:rsidDel="00000000" w:rsidP="00000000" w:rsidRDefault="00000000" w:rsidRPr="00000000" w14:paraId="0000006F">
      <w:pPr>
        <w:shd w:fill="fcfcfc" w:val="clear"/>
        <w:rPr>
          <w:color w:val="000000"/>
        </w:rPr>
      </w:pPr>
      <w:r w:rsidDel="00000000" w:rsidR="00000000" w:rsidRPr="00000000">
        <w:rPr>
          <w:color w:val="000000"/>
          <w:rtl w:val="0"/>
        </w:rPr>
        <w:t xml:space="preserve">Over the past decade, Israeli practices of land control in the West Bank have undergone a notable shift toward more direct, accelerated, and territorially explicit forms of violent dispossession. This shift is marked by the convergence of multiple policies and spatial strategies, such as the intensified enforcement of military firing zones and nature reserves, large-scale land appropriation through the declaration of “state lands” designated for Jewish development, and violent forms of peasant dispossession that restrict or prevent Palestinian access to agricultural land, grazing areas, and water resources. These practices are not carried out by the military alone, but are orchestrated through the interaction of multiple actors, including state authorities, semi-governmental agencies, local administrations, and settler groups. Together, they constitute a new and intensified dispossession regime, particularly in Area C.</w:t>
      </w:r>
    </w:p>
    <w:p w:rsidR="00000000" w:rsidDel="00000000" w:rsidP="00000000" w:rsidRDefault="00000000" w:rsidRPr="00000000" w14:paraId="00000070">
      <w:pPr>
        <w:shd w:fill="fcfcfc" w:val="clear"/>
        <w:rPr>
          <w:color w:val="000000"/>
        </w:rPr>
      </w:pPr>
      <w:r w:rsidDel="00000000" w:rsidR="00000000" w:rsidRPr="00000000">
        <w:rPr>
          <w:rtl w:val="0"/>
        </w:rPr>
      </w:r>
    </w:p>
    <w:p w:rsidR="00000000" w:rsidDel="00000000" w:rsidP="00000000" w:rsidRDefault="00000000" w:rsidRPr="00000000" w14:paraId="00000071">
      <w:pPr>
        <w:shd w:fill="fcfcfc" w:val="clear"/>
        <w:rPr>
          <w:color w:val="000000"/>
        </w:rPr>
      </w:pPr>
      <w:r w:rsidDel="00000000" w:rsidR="00000000" w:rsidRPr="00000000">
        <w:rPr>
          <w:color w:val="000000"/>
          <w:rtl w:val="0"/>
        </w:rPr>
        <w:t xml:space="preserve">While previous frameworks have focused primarily on military violence (Gordon), regimes of mobility and movement (Handel), or volumetric surveillance, planning, and infrastructure as manifestations of occupation power (Weizman), I suggest in this paper that these structural accounts require revision in light of the growing prominence of overt, irregular, militia-style, land-centered violence. Accordingly, I propose to analyze these dynamics through the lens of land control (Lund and Peluso 2011) and peasant dispossession, emphasizing forms of open, unregulated violence whose objective is neither the governance of Indigenous subjects through “hollow land” techniques nor territorial sovereignty achieved primarily through military control, but rather the rendering of land as empty—a de facto terra nullius—available for settler colonization.</w:t>
      </w:r>
    </w:p>
    <w:p w:rsidR="00000000" w:rsidDel="00000000" w:rsidP="00000000" w:rsidRDefault="00000000" w:rsidRPr="00000000" w14:paraId="00000072">
      <w:pPr>
        <w:shd w:fill="fcfcfc" w:val="clear"/>
        <w:rPr>
          <w:b w:val="1"/>
          <w:bCs w:val="1"/>
          <w:color w:val="000000"/>
          <w:highlight w:val="white"/>
        </w:rPr>
      </w:pP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b w:val="1"/>
          <w:bCs w:val="1"/>
          <w:color w:val="000000"/>
          <w:rtl w:val="0"/>
        </w:rPr>
        <w:t xml:space="preserve">Body, Mind, and Territory: From Life-Making to Nation-Making, </w:t>
      </w:r>
      <w:r w:rsidDel="00000000" w:rsidR="00000000" w:rsidRPr="00000000">
        <w:rPr>
          <w:color w:val="000000"/>
          <w:rtl w:val="0"/>
        </w:rPr>
        <w:t xml:space="preserve">Jublee Handique (The Ohio State University)</w:t>
      </w:r>
    </w:p>
    <w:p w:rsidR="00000000" w:rsidDel="00000000" w:rsidP="00000000" w:rsidRDefault="00000000" w:rsidRPr="00000000" w14:paraId="00000074">
      <w:pPr>
        <w:rPr>
          <w:color w:val="000000"/>
        </w:rPr>
      </w:pPr>
      <w:r w:rsidDel="00000000" w:rsidR="00000000" w:rsidRPr="00000000">
        <w:rPr>
          <w:rtl w:val="0"/>
        </w:rPr>
      </w:r>
    </w:p>
    <w:p w:rsidR="00000000" w:rsidDel="00000000" w:rsidP="00000000" w:rsidRDefault="00000000" w:rsidRPr="00000000" w14:paraId="00000075">
      <w:pPr>
        <w:rPr>
          <w:color w:val="000000"/>
        </w:rPr>
      </w:pPr>
      <w:r w:rsidDel="00000000" w:rsidR="00000000" w:rsidRPr="00000000">
        <w:rPr>
          <w:color w:val="000000"/>
          <w:rtl w:val="0"/>
        </w:rPr>
        <w:t xml:space="preserve">“How we live” is a crucial mechanism through which the capitalist state sustains its production. Yet, how we live is also mechanized by how we think. A key aspect of banal nationalism lies in how people feel, think, and belong as one. Drawing from Gottmann, Painter, and Katz, I examine the entanglement of everyday life-making practices in the production of territory and the expansion and maintenance of territoriality. Here, I use social reproduction as both method and praxis to understand the construction of territorial identity and territoriality. I inquire into how the body and mind become embedded in these practices of everyday life─ how the state continues to reproduce and reinforce race, class, and place identities through mundane, micro-scale activities that ultimately shape and sustain the idea of the nation-state. Keywords: social reproduction, territory, territoriality, body, belonging</w:t>
      </w:r>
    </w:p>
    <w:p w:rsidR="00000000" w:rsidDel="00000000" w:rsidP="00000000" w:rsidRDefault="00000000" w:rsidRPr="00000000" w14:paraId="00000076">
      <w:pPr>
        <w:rPr>
          <w:color w:val="000000"/>
        </w:rPr>
      </w:pPr>
      <w:r w:rsidDel="00000000" w:rsidR="00000000" w:rsidRPr="00000000">
        <w:rPr>
          <w:rtl w:val="0"/>
        </w:rPr>
      </w:r>
    </w:p>
    <w:p w:rsidR="00000000" w:rsidDel="00000000" w:rsidP="00000000" w:rsidRDefault="00000000" w:rsidRPr="00000000" w14:paraId="00000077">
      <w:pPr>
        <w:rPr>
          <w:color w:val="000000"/>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between w:space="0" w:sz="0" w:val="nil"/>
        </w:pBdr>
        <w:shd w:fill="b8cce4" w:val="clear"/>
        <w:spacing w:after="200" w:lineRule="auto"/>
        <w:rPr>
          <w:color w:val="000000"/>
        </w:rPr>
      </w:pPr>
      <w:r w:rsidDel="00000000" w:rsidR="00000000" w:rsidRPr="00000000">
        <w:rPr>
          <w:b w:val="1"/>
          <w:bCs w:val="1"/>
          <w:rtl w:val="0"/>
        </w:rPr>
        <w:t xml:space="preserve">4:45-6:00</w:t>
      </w:r>
      <w:r w:rsidDel="00000000" w:rsidR="00000000" w:rsidRPr="00000000">
        <w:rPr>
          <w:b w:val="1"/>
          <w:bCs w:val="1"/>
          <w:color w:val="000000"/>
          <w:rtl w:val="0"/>
        </w:rPr>
        <w:tab/>
        <w:t xml:space="preserve">Session VIII: </w:t>
      </w:r>
      <w:r w:rsidDel="00000000" w:rsidR="00000000" w:rsidRPr="00000000">
        <w:rPr>
          <w:b w:val="1"/>
          <w:bCs w:val="1"/>
          <w:rtl w:val="0"/>
        </w:rPr>
        <w:t xml:space="preserve">Climate and Environment</w:t>
      </w:r>
      <w:r w:rsidDel="00000000" w:rsidR="00000000" w:rsidRPr="00000000">
        <w:rPr>
          <w:rtl w:val="0"/>
        </w:rPr>
      </w:r>
    </w:p>
    <w:p w:rsidR="00000000" w:rsidDel="00000000" w:rsidP="00000000" w:rsidRDefault="00000000" w:rsidRPr="00000000" w14:paraId="00000079">
      <w:pPr>
        <w:rPr/>
      </w:pPr>
      <w:r w:rsidDel="00000000" w:rsidR="00000000" w:rsidRPr="00000000">
        <w:rPr>
          <w:i w:val="1"/>
          <w:iCs w:val="1"/>
          <w:color w:val="000000"/>
          <w:rtl w:val="0"/>
        </w:rPr>
        <w:t xml:space="preserve">Chair: Tom Narins, University at Albany</w:t>
      </w:r>
      <w:r w:rsidDel="00000000" w:rsidR="00000000" w:rsidRPr="00000000">
        <w:rPr>
          <w:rtl w:val="0"/>
        </w:rPr>
      </w:r>
    </w:p>
    <w:p w:rsidR="00000000" w:rsidDel="00000000" w:rsidP="00000000" w:rsidRDefault="00000000" w:rsidRPr="00000000" w14:paraId="0000007A">
      <w:pPr>
        <w:rPr>
          <w:b w:val="1"/>
          <w:bCs w:val="1"/>
          <w:color w:val="000000"/>
          <w:highlight w:val="white"/>
        </w:rPr>
      </w:pPr>
      <w:r w:rsidDel="00000000" w:rsidR="00000000" w:rsidRPr="00000000">
        <w:rPr>
          <w:rtl w:val="0"/>
        </w:rPr>
      </w:r>
    </w:p>
    <w:p w:rsidR="00000000" w:rsidDel="00000000" w:rsidP="00000000" w:rsidRDefault="00000000" w:rsidRPr="00000000" w14:paraId="0000007B">
      <w:pPr>
        <w:rPr>
          <w:color w:val="000000"/>
        </w:rPr>
      </w:pPr>
      <w:r w:rsidDel="00000000" w:rsidR="00000000" w:rsidRPr="00000000">
        <w:rPr>
          <w:b w:val="1"/>
          <w:bCs w:val="1"/>
          <w:color w:val="000000"/>
          <w:rtl w:val="0"/>
        </w:rPr>
        <w:t xml:space="preserve">Forest rights, the state, and the future of forest-dependent people in central India, </w:t>
      </w:r>
      <w:r w:rsidDel="00000000" w:rsidR="00000000" w:rsidRPr="00000000">
        <w:rPr>
          <w:color w:val="000000"/>
          <w:rtl w:val="0"/>
        </w:rPr>
        <w:t xml:space="preserve">Priscilla Corbett (University of Colorado, Boulder)</w:t>
      </w:r>
    </w:p>
    <w:p w:rsidR="00000000" w:rsidDel="00000000" w:rsidP="00000000" w:rsidRDefault="00000000" w:rsidRPr="00000000" w14:paraId="0000007C">
      <w:pPr>
        <w:rPr>
          <w:color w:val="000000"/>
        </w:rPr>
      </w:pPr>
      <w:r w:rsidDel="00000000" w:rsidR="00000000" w:rsidRPr="00000000">
        <w:rPr>
          <w:rtl w:val="0"/>
        </w:rPr>
      </w:r>
    </w:p>
    <w:p w:rsidR="00000000" w:rsidDel="00000000" w:rsidP="00000000" w:rsidRDefault="00000000" w:rsidRPr="00000000" w14:paraId="0000007D">
      <w:pPr>
        <w:rPr>
          <w:color w:val="000000"/>
        </w:rPr>
      </w:pPr>
      <w:r w:rsidDel="00000000" w:rsidR="00000000" w:rsidRPr="00000000">
        <w:rPr>
          <w:color w:val="000000"/>
          <w:rtl w:val="0"/>
        </w:rPr>
        <w:t xml:space="preserve">Social justice movements often deploy the language of rights to generate legislative change in favor of the disenfranchised. But what happens when the resulting legislation fails to upend power asymmetries as intended? The enactment of the Forest Rights Act (FRA), 2006 was a watershed moment for forest-dependent communities in India because it created the legal mechanism for recognition of their right to utilize forest space and resources. It is perhaps best understood as a counter-insurgency mechanism against the Naxalite movement – a far-left revolutionary movement that has specifically recruited from forest-dependent communities. Yet despite this, very little is known about how engaging in the FRA claim process shapes forest-dependent people’s political views, identity, or propensity for radicalization. Given the recent intensification of counter-insurgency operations, increased attempts to culturally assimilate Indigenous people (many of whom are forest dependent), and ongoing questions regarding the long-term sustainability of forest-based livelihoods, better understanding how variations in the experience of rights claim making interacts with political subjectivity is critical to understand how members of these communities imagine and make decisions about the future. Accordingly, this project will explore how FRA engagement shapes how forest-dependent people perceive the state and the functioning of democracy, identify politically, and understand themselves as citizens, with close attention to gender-, generation-, and ethnic community-based differences. In doing so, it will advance understandings of how struggles over rights and justice shape democratic participation, state-society relations, and the meaning of citizenship among subaltern communities in postcolonial contexts.</w:t>
      </w:r>
    </w:p>
    <w:p w:rsidR="00000000" w:rsidDel="00000000" w:rsidP="00000000" w:rsidRDefault="00000000" w:rsidRPr="00000000" w14:paraId="0000007E">
      <w:pPr>
        <w:rPr>
          <w:b w:val="1"/>
          <w:bCs w:val="1"/>
          <w:color w:val="000000"/>
          <w:highlight w:val="white"/>
        </w:rPr>
      </w:pPr>
      <w:r w:rsidDel="00000000" w:rsidR="00000000" w:rsidRPr="00000000">
        <w:rPr>
          <w:rtl w:val="0"/>
        </w:rPr>
      </w:r>
    </w:p>
    <w:p w:rsidR="00000000" w:rsidDel="00000000" w:rsidP="00000000" w:rsidRDefault="00000000" w:rsidRPr="00000000" w14:paraId="0000007F">
      <w:pPr>
        <w:rPr>
          <w:b w:val="1"/>
          <w:bCs w:val="1"/>
        </w:rPr>
      </w:pPr>
      <w:r w:rsidDel="00000000" w:rsidR="00000000" w:rsidRPr="00000000">
        <w:rPr>
          <w:rtl w:val="0"/>
        </w:rPr>
      </w:r>
    </w:p>
    <w:p w:rsidR="00000000" w:rsidDel="00000000" w:rsidP="00000000" w:rsidRDefault="00000000" w:rsidRPr="00000000" w14:paraId="00000080">
      <w:pPr>
        <w:rPr/>
      </w:pPr>
      <w:r w:rsidDel="00000000" w:rsidR="00000000" w:rsidRPr="00000000">
        <w:rPr>
          <w:b w:val="1"/>
          <w:bCs w:val="1"/>
          <w:rtl w:val="0"/>
        </w:rPr>
        <w:t xml:space="preserve">Who was most resilient to an unfolding drought in Northern Kenya? Tracking Changes in Living Conditions and Food Insecurity in a panel survey from 2020-2022, </w:t>
      </w:r>
      <w:r w:rsidDel="00000000" w:rsidR="00000000" w:rsidRPr="00000000">
        <w:rPr>
          <w:rtl w:val="0"/>
        </w:rPr>
        <w:t xml:space="preserve">Sarah Posner, (University of Colorado, Boulder)</w:t>
      </w:r>
    </w:p>
    <w:p w:rsidR="00000000" w:rsidDel="00000000" w:rsidP="00000000" w:rsidRDefault="00000000" w:rsidRPr="00000000" w14:paraId="00000081">
      <w:pPr>
        <w:rPr>
          <w:b w:val="1"/>
          <w:bCs w:val="1"/>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Drawing on four waves of panel survey data collected between February 2020 and May 2022 (n = 282) in Isiolo County, northern Kenya, we measure the livelihood resiliency of agricultural based and non-agricultural based households by tracking self-reported living conditions and food insecurity status pre and post-drought. Survey results indicate deteriorating conditions of both resiliency indicators over the four survey waves, with agricultural households more sensitive to drought shocks, reporting higher rates of crop failure, livestock mortality, and dwindling food supply than households reliant on non-agricultural livelihoods. We used ordinal regression to track food security and living condition statuses over time in separate models or each livelihood group. By stratifying analyses between agricultural and non-agricultural households, we evaluate how baseline assets, livelihood strategies, and exposure to drought-related shocks shaped households’ ability to adapt. Results indicate that livestock ownership and higher education were protective against worsening food insecurity among agricultural households while number of dependents and gender of the household head were more salient predictors of food insecurity among non-agricultural households. Those who adopted supplemental, non-agricultural income as a coping strategy were significantly associated with improved living conditions but worsening food security. Our findings illustrate both the multidimensional and temporal aspects of resiliency to an unfolding drought, exemplifying the importance of panel data to track changes over time using multiple indicators.</w:t>
      </w:r>
    </w:p>
    <w:p w:rsidR="00000000" w:rsidDel="00000000" w:rsidP="00000000" w:rsidRDefault="00000000" w:rsidRPr="00000000" w14:paraId="00000083">
      <w:pPr>
        <w:rPr>
          <w:b w:val="1"/>
          <w:bCs w:val="1"/>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rtl w:val="0"/>
        </w:rPr>
      </w:r>
    </w:p>
    <w:p w:rsidR="00000000" w:rsidDel="00000000" w:rsidP="00000000" w:rsidRDefault="00000000" w:rsidRPr="00000000" w14:paraId="00000085">
      <w:pPr>
        <w:rPr>
          <w:b w:val="1"/>
          <w:bCs w:val="1"/>
        </w:rPr>
      </w:pPr>
      <w:r w:rsidDel="00000000" w:rsidR="00000000" w:rsidRPr="00000000">
        <w:rPr>
          <w:rtl w:val="0"/>
        </w:rPr>
      </w:r>
    </w:p>
    <w:p w:rsidR="00000000" w:rsidDel="00000000" w:rsidP="00000000" w:rsidRDefault="00000000" w:rsidRPr="00000000" w14:paraId="00000086">
      <w:pPr>
        <w:rPr>
          <w:color w:val="000000"/>
        </w:rPr>
      </w:pPr>
      <w:r w:rsidDel="00000000" w:rsidR="00000000" w:rsidRPr="00000000">
        <w:rPr>
          <w:b w:val="1"/>
          <w:bCs w:val="1"/>
          <w:color w:val="000000"/>
          <w:rtl w:val="0"/>
        </w:rPr>
        <w:t xml:space="preserve">Rendering Adaptation Redundant: Knowledge, Ambiguity, and Frictions within the Biopolitics of Adaptation in Sundarbans, Bangladesh, </w:t>
      </w:r>
      <w:r w:rsidDel="00000000" w:rsidR="00000000" w:rsidRPr="00000000">
        <w:rPr>
          <w:color w:val="000000"/>
          <w:rtl w:val="0"/>
        </w:rPr>
        <w:t xml:space="preserve">Faisal Islam (University of Delaware) </w:t>
      </w:r>
    </w:p>
    <w:p w:rsidR="00000000" w:rsidDel="00000000" w:rsidP="00000000" w:rsidRDefault="00000000" w:rsidRPr="00000000" w14:paraId="00000087">
      <w:pPr>
        <w:rPr>
          <w:color w:val="000000"/>
        </w:rPr>
      </w:pPr>
      <w:r w:rsidDel="00000000" w:rsidR="00000000" w:rsidRPr="00000000">
        <w:rPr>
          <w:rtl w:val="0"/>
        </w:rPr>
      </w:r>
    </w:p>
    <w:p w:rsidR="00000000" w:rsidDel="00000000" w:rsidP="00000000" w:rsidRDefault="00000000" w:rsidRPr="00000000" w14:paraId="00000088">
      <w:pPr>
        <w:rPr>
          <w:color w:val="000000"/>
        </w:rPr>
      </w:pPr>
      <w:r w:rsidDel="00000000" w:rsidR="00000000" w:rsidRPr="00000000">
        <w:rPr>
          <w:color w:val="000000"/>
          <w:rtl w:val="0"/>
        </w:rPr>
        <w:t xml:space="preserve">Adaptation to climate change is commonly viewed as a planning problem in modern development discourse, where knowledge about and planning for adaptation follow a power-laden hierarchical relationship. From a decolonial and postcolonial understanding of power relations that shape the lives of people in Sundarbans, Bangladesh, I argue that the ultimate goal of neoliberal adaptation programs and projects is not to make people adaptive to climate change; it is to render adaptation redundant: The process that normalizes technological fixes to every aspect of human lives in Sundarbans.  There are three interrelated processes of this rendering where power is imbued through space and time: 1. Rendering Sundarbans as a climate frontier: a space of unmapping, imagined as backward, not planned yet, for perpetuity. 2. The ambiguity of knowledge within frictions: the political economy of scale-making, where globalizing discourses and narratives about adaptation make little sense to the people and communities in question of being adapted, because of what they exclude 3. To reduce friction, power becomes invisible, making adaptation an everyday routine of disciplinary nature, built into the social fabric of life itself. This is coordinated through infrastructures and instructions of power relations to the point that people will self-discipline themselves to become adaptive. These three distinct but interrelated processes create the illusion of vulnerability and adaptive capacity that can only be linearly measured and addressed through technocratic solutions, thereby rendering adaptation redundant in the Sundarbans.</w:t>
      </w:r>
    </w:p>
    <w:p w:rsidR="00000000" w:rsidDel="00000000" w:rsidP="00000000" w:rsidRDefault="00000000" w:rsidRPr="00000000" w14:paraId="00000089">
      <w:pPr>
        <w:rPr>
          <w:b w:val="1"/>
          <w:bCs w:val="1"/>
          <w:color w:val="000000"/>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between w:space="0" w:sz="0" w:val="nil"/>
        </w:pBdr>
        <w:shd w:fill="b8cce4" w:val="clear"/>
        <w:spacing w:after="200" w:lineRule="auto"/>
        <w:rPr>
          <w:color w:val="000000"/>
        </w:rPr>
      </w:pPr>
      <w:r w:rsidDel="00000000" w:rsidR="00000000" w:rsidRPr="00000000">
        <w:rPr>
          <w:b w:val="1"/>
          <w:bCs w:val="1"/>
          <w:rtl w:val="0"/>
        </w:rPr>
        <w:t xml:space="preserve">4:45-6:00</w:t>
      </w:r>
      <w:r w:rsidDel="00000000" w:rsidR="00000000" w:rsidRPr="00000000">
        <w:rPr>
          <w:b w:val="1"/>
          <w:bCs w:val="1"/>
          <w:color w:val="000000"/>
          <w:rtl w:val="0"/>
        </w:rPr>
        <w:tab/>
        <w:t xml:space="preserve">Session IX: Borders, Statecraft &amp; Migrants</w:t>
      </w:r>
      <w:r w:rsidDel="00000000" w:rsidR="00000000" w:rsidRPr="00000000">
        <w:rPr>
          <w:rtl w:val="0"/>
        </w:rPr>
      </w:r>
    </w:p>
    <w:p w:rsidR="00000000" w:rsidDel="00000000" w:rsidP="00000000" w:rsidRDefault="00000000" w:rsidRPr="00000000" w14:paraId="0000008C">
      <w:pPr>
        <w:rPr>
          <w:i w:val="1"/>
          <w:iCs w:val="1"/>
          <w:color w:val="000000"/>
        </w:rPr>
      </w:pPr>
      <w:r w:rsidDel="00000000" w:rsidR="00000000" w:rsidRPr="00000000">
        <w:rPr>
          <w:i w:val="1"/>
          <w:iCs w:val="1"/>
          <w:color w:val="000000"/>
          <w:rtl w:val="0"/>
        </w:rPr>
        <w:t xml:space="preserve">Chair: Corey Johnson, University of North Carolina, Greensboro</w:t>
      </w:r>
    </w:p>
    <w:p w:rsidR="00000000" w:rsidDel="00000000" w:rsidP="00000000" w:rsidRDefault="00000000" w:rsidRPr="00000000" w14:paraId="0000008D">
      <w:pPr>
        <w:rPr>
          <w:i w:val="1"/>
          <w:iCs w:val="1"/>
          <w:color w:val="000000"/>
        </w:rPr>
      </w:pPr>
      <w:r w:rsidDel="00000000" w:rsidR="00000000" w:rsidRPr="00000000">
        <w:rPr>
          <w:rtl w:val="0"/>
        </w:rPr>
      </w:r>
    </w:p>
    <w:p w:rsidR="00000000" w:rsidDel="00000000" w:rsidP="00000000" w:rsidRDefault="00000000" w:rsidRPr="00000000" w14:paraId="0000008E">
      <w:pPr>
        <w:rPr>
          <w:color w:val="000000"/>
        </w:rPr>
      </w:pPr>
      <w:r w:rsidDel="00000000" w:rsidR="00000000" w:rsidRPr="00000000">
        <w:rPr>
          <w:b w:val="1"/>
          <w:bCs w:val="1"/>
          <w:color w:val="000000"/>
          <w:rtl w:val="0"/>
        </w:rPr>
        <w:t xml:space="preserve">Queer Borderscapes: The Geographies of Border Internalization for Queer Latin American Migrants in Barcelona, </w:t>
      </w:r>
      <w:r w:rsidDel="00000000" w:rsidR="00000000" w:rsidRPr="00000000">
        <w:rPr>
          <w:color w:val="000000"/>
          <w:rtl w:val="0"/>
        </w:rPr>
        <w:t xml:space="preserve">Fernando Lopez Oggier (University of Hawai'i at Mānoa)</w:t>
      </w:r>
    </w:p>
    <w:p w:rsidR="00000000" w:rsidDel="00000000" w:rsidP="00000000" w:rsidRDefault="00000000" w:rsidRPr="00000000" w14:paraId="0000008F">
      <w:pPr>
        <w:rPr>
          <w:color w:val="000000"/>
        </w:rPr>
      </w:pPr>
      <w:r w:rsidDel="00000000" w:rsidR="00000000" w:rsidRPr="00000000">
        <w:rPr>
          <w:rtl w:val="0"/>
        </w:rPr>
      </w:r>
    </w:p>
    <w:p w:rsidR="00000000" w:rsidDel="00000000" w:rsidP="00000000" w:rsidRDefault="00000000" w:rsidRPr="00000000" w14:paraId="00000090">
      <w:pPr>
        <w:rPr>
          <w:color w:val="000000"/>
        </w:rPr>
      </w:pPr>
      <w:r w:rsidDel="00000000" w:rsidR="00000000" w:rsidRPr="00000000">
        <w:rPr>
          <w:color w:val="000000"/>
          <w:rtl w:val="0"/>
        </w:rPr>
        <w:t xml:space="preserve">In the 21st century states are implementing different forms of border dislocation to sustain their mobility regimes. In response to these shifts, scholars in Critical Border Studies have turned to border deconstruction to catechize decentralized bordering practices. Largely missing from the literature on border deconstruction is an engagement with queer theory and intersectional thought. This study addresses this gap by analyzing the effects of border internalization in the lives of queer Latin American migrants living in Barcelona. Drawing from Chiara Brambilla’s (2014) notion of borderscapes, I identify how queer Latin American migrants encounter, negotiate, and contest the dislocated border. The application of queer theory to this process results in this project’s contribution: queer borderscapes, an intersectional intervention in the border studies literature to understand how queerness shapes the ways that mobility regimes are experienced. Drawing from semi-structured interviews and walking ethnography with 13 participants, this study reveals how differential mobilities endure long after a border has been crossed. Some of the themes that emerge from this work include cultural and linguistic othering, negotiating heteropatriarchal scripts in the informal economy, bureaucratic barriers to legal transition for trans migrants, racialized and gendered profiling in public space, and socioeconomic isolation. Despite these struggles, participants find Barcelona to be an important site for self-discovery and place-making, allowing them to forge a situated queer consciousness akin to Anzaldua’s new mestiza. In the wake of these experiences, the fraught relationship between the border and the migrant ‘other’ begins to be reconciled.</w:t>
      </w:r>
    </w:p>
    <w:p w:rsidR="00000000" w:rsidDel="00000000" w:rsidP="00000000" w:rsidRDefault="00000000" w:rsidRPr="00000000" w14:paraId="00000091">
      <w:pPr>
        <w:rPr>
          <w:b w:val="1"/>
          <w:bCs w:val="1"/>
          <w:color w:val="000000"/>
        </w:rPr>
      </w:pPr>
      <w:r w:rsidDel="00000000" w:rsidR="00000000" w:rsidRPr="00000000">
        <w:rPr>
          <w:rtl w:val="0"/>
        </w:rPr>
      </w:r>
    </w:p>
    <w:p w:rsidR="00000000" w:rsidDel="00000000" w:rsidP="00000000" w:rsidRDefault="00000000" w:rsidRPr="00000000" w14:paraId="00000092">
      <w:pPr>
        <w:rPr>
          <w:color w:val="000000"/>
        </w:rPr>
      </w:pPr>
      <w:r w:rsidDel="00000000" w:rsidR="00000000" w:rsidRPr="00000000">
        <w:rPr>
          <w:b w:val="1"/>
          <w:bCs w:val="1"/>
          <w:color w:val="000000"/>
          <w:rtl w:val="0"/>
        </w:rPr>
        <w:t xml:space="preserve">The Center Beckons: Statecraft, Performance &amp; Autonomy in Post-Assad Syria, </w:t>
      </w:r>
      <w:r w:rsidDel="00000000" w:rsidR="00000000" w:rsidRPr="00000000">
        <w:rPr>
          <w:color w:val="000000"/>
          <w:rtl w:val="0"/>
        </w:rPr>
        <w:t xml:space="preserve">Ali Hamdan (University of Amsterdam)</w:t>
      </w:r>
    </w:p>
    <w:p w:rsidR="00000000" w:rsidDel="00000000" w:rsidP="00000000" w:rsidRDefault="00000000" w:rsidRPr="00000000" w14:paraId="00000093">
      <w:pPr>
        <w:rPr>
          <w:color w:val="000000"/>
        </w:rPr>
      </w:pPr>
      <w:r w:rsidDel="00000000" w:rsidR="00000000" w:rsidRPr="00000000">
        <w:rPr>
          <w:rtl w:val="0"/>
        </w:rPr>
      </w:r>
    </w:p>
    <w:p w:rsidR="00000000" w:rsidDel="00000000" w:rsidP="00000000" w:rsidRDefault="00000000" w:rsidRPr="00000000" w14:paraId="00000094">
      <w:pPr>
        <w:rPr>
          <w:color w:val="000000"/>
        </w:rPr>
      </w:pPr>
      <w:r w:rsidDel="00000000" w:rsidR="00000000" w:rsidRPr="00000000">
        <w:rPr>
          <w:color w:val="000000"/>
          <w:rtl w:val="0"/>
        </w:rPr>
        <w:t xml:space="preserve">In December 2024, the insurgent group Hay’at Tahrir al-Sham (HTS) seized control of the state apparatus in Damascus. Conventional research on what happens when rebel groups seize the state often foregrounds their efforts to cultivate “performance legitimacy,” through which the provision of goods and services (chief among these security) improves civilians’ willingness to comply with the newly emerging government. Yet these “victorious rebels” often face serious material challenges that limit their ability to provide such services on the one hand, while still needing to earn compliance on the other. Taking this conundrum as a point of departure, this paper looks to the practices and repertoires through which Syria’s emerging Transitional Government (STG) works to perform the postwar state. Drawing in particular on Alex Jeffrey’s work, it identifies two key “improvisations” of statecraft central to this process: ritualized “beckoning” and assertions of co-presence. Apart from representing efforts to cultivate compliance and perform autonomy, the paper argues that these particular practices of statecraft offer a dynamic window onto the contested geographies of the state in moments of war, in the Middle East and beyond.</w:t>
      </w:r>
    </w:p>
    <w:p w:rsidR="00000000" w:rsidDel="00000000" w:rsidP="00000000" w:rsidRDefault="00000000" w:rsidRPr="00000000" w14:paraId="00000095">
      <w:pPr>
        <w:rPr>
          <w:color w:val="000000"/>
        </w:rPr>
      </w:pPr>
      <w:r w:rsidDel="00000000" w:rsidR="00000000" w:rsidRPr="00000000">
        <w:rPr>
          <w:rtl w:val="0"/>
        </w:rPr>
      </w:r>
    </w:p>
    <w:p w:rsidR="00000000" w:rsidDel="00000000" w:rsidP="00000000" w:rsidRDefault="00000000" w:rsidRPr="00000000" w14:paraId="00000096">
      <w:pPr>
        <w:rPr>
          <w:color w:val="000000"/>
        </w:rPr>
      </w:pPr>
      <w:r w:rsidDel="00000000" w:rsidR="00000000" w:rsidRPr="00000000">
        <w:rPr>
          <w:b w:val="1"/>
          <w:bCs w:val="1"/>
          <w:color w:val="000000"/>
          <w:rtl w:val="0"/>
        </w:rPr>
        <w:t xml:space="preserve">Smuggling, Morality, and Survival: Informal Economy</w:t>
      </w:r>
      <w:r w:rsidDel="00000000" w:rsidR="00000000" w:rsidRPr="00000000">
        <w:rPr>
          <w:b w:val="1"/>
          <w:bCs w:val="1"/>
          <w:color w:val="000000"/>
          <w:highlight w:val="white"/>
          <w:rtl w:val="0"/>
        </w:rPr>
        <w:t xml:space="preserve">, </w:t>
      </w:r>
      <w:r w:rsidDel="00000000" w:rsidR="00000000" w:rsidRPr="00000000">
        <w:rPr>
          <w:color w:val="000000"/>
          <w:rtl w:val="0"/>
        </w:rPr>
        <w:t xml:space="preserve">Kai-Yang Huang </w:t>
      </w:r>
      <w:r w:rsidDel="00000000" w:rsidR="00000000" w:rsidRPr="00000000">
        <w:rPr>
          <w:color w:val="000000"/>
          <w:highlight w:val="white"/>
          <w:rtl w:val="0"/>
        </w:rPr>
        <w:t xml:space="preserve">(</w:t>
      </w:r>
      <w:r w:rsidDel="00000000" w:rsidR="00000000" w:rsidRPr="00000000">
        <w:rPr>
          <w:color w:val="000000"/>
          <w:rtl w:val="0"/>
        </w:rPr>
        <w:t xml:space="preserve">National Taiwan University)</w:t>
      </w:r>
    </w:p>
    <w:p w:rsidR="00000000" w:rsidDel="00000000" w:rsidP="00000000" w:rsidRDefault="00000000" w:rsidRPr="00000000" w14:paraId="00000097">
      <w:pPr>
        <w:rPr>
          <w:color w:val="000000"/>
        </w:rPr>
      </w:pPr>
      <w:r w:rsidDel="00000000" w:rsidR="00000000" w:rsidRPr="00000000">
        <w:rPr>
          <w:rtl w:val="0"/>
        </w:rPr>
      </w:r>
    </w:p>
    <w:p w:rsidR="00000000" w:rsidDel="00000000" w:rsidP="00000000" w:rsidRDefault="00000000" w:rsidRPr="00000000" w14:paraId="00000098">
      <w:pPr>
        <w:rPr>
          <w:color w:val="000000"/>
        </w:rPr>
      </w:pPr>
      <w:r w:rsidDel="00000000" w:rsidR="00000000" w:rsidRPr="00000000">
        <w:rPr>
          <w:color w:val="000000"/>
          <w:rtl w:val="0"/>
        </w:rPr>
        <w:t xml:space="preserve">This paper explores the Matsu Islands—a frontline archipelago administered by Taiwan during the Cold War—as a paradigmatic site where informal economic practices evolved not only in spite of, but also beyond, the state. From the 1950s through the early 1990s, Matsu was subjected to a strict martial law regime that combined military governance with a closed command economy. The state imposed a centralized rationing system on basic goods such as flour and cooking oil, and even regulated pork prices down to internal organ categories. However, the everyday lived experience of Matsu residents reveals a persistent and resilient system of informal practices that blurred the boundaries between legality, morality, and survival.</w:t>
      </w:r>
    </w:p>
    <w:p w:rsidR="00000000" w:rsidDel="00000000" w:rsidP="00000000" w:rsidRDefault="00000000" w:rsidRPr="00000000" w14:paraId="00000099">
      <w:pPr>
        <w:rPr>
          <w:color w:val="000000"/>
        </w:rPr>
      </w:pPr>
      <w:r w:rsidDel="00000000" w:rsidR="00000000" w:rsidRPr="00000000">
        <w:rPr>
          <w:rtl w:val="0"/>
        </w:rPr>
      </w:r>
    </w:p>
    <w:p w:rsidR="00000000" w:rsidDel="00000000" w:rsidP="00000000" w:rsidRDefault="00000000" w:rsidRPr="00000000" w14:paraId="0000009A">
      <w:pPr>
        <w:rPr>
          <w:color w:val="000000"/>
        </w:rPr>
      </w:pPr>
      <w:r w:rsidDel="00000000" w:rsidR="00000000" w:rsidRPr="00000000">
        <w:rPr>
          <w:color w:val="000000"/>
          <w:rtl w:val="0"/>
        </w:rPr>
        <w:t xml:space="preserve">Despite repeated military prohibitions, smuggling flourished as an open secret. Local fishermen, barred from deep-sea fishing, engaged in covert trade with mainland Chinese fishers—exchanging alcohol for rice, tobacco for vegetables, and prized goods like jade pendants and dry mushrooms for cash. Simultaneously, soldiers used their access to military goods such as canned food, American cigarettes, and tax-free alcohol to barter with local civilians, or resell these items through village shops. These exchanges, though technically illegal, were widely rationalized within the community as mutual aid in a resource-scarce environment.</w:t>
      </w:r>
    </w:p>
    <w:p w:rsidR="00000000" w:rsidDel="00000000" w:rsidP="00000000" w:rsidRDefault="00000000" w:rsidRPr="00000000" w14:paraId="0000009B">
      <w:pPr>
        <w:rPr>
          <w:color w:val="000000"/>
        </w:rPr>
      </w:pPr>
      <w:r w:rsidDel="00000000" w:rsidR="00000000" w:rsidRPr="00000000">
        <w:rPr>
          <w:rtl w:val="0"/>
        </w:rPr>
      </w:r>
    </w:p>
    <w:p w:rsidR="00000000" w:rsidDel="00000000" w:rsidP="00000000" w:rsidRDefault="00000000" w:rsidRPr="00000000" w14:paraId="0000009C">
      <w:pPr>
        <w:rPr>
          <w:color w:val="000000"/>
        </w:rPr>
      </w:pPr>
      <w:r w:rsidDel="00000000" w:rsidR="00000000" w:rsidRPr="00000000">
        <w:rPr>
          <w:color w:val="000000"/>
          <w:rtl w:val="0"/>
        </w:rPr>
        <w:t xml:space="preserve">Drawing on archival sources, newspaper reports, and oral histories, the paper documents how these practices formed a double-layered economy: the state-monopolized official supply channel operated publicly, while informal exchange networks ensured the distribution of goods that the formal system could not adequately provide. In effect, the military regime’s effort to monopolize moral legitimacy and control the economy paradoxically generated a thriving parallel system of informal governance.</w:t>
      </w:r>
    </w:p>
    <w:p w:rsidR="00000000" w:rsidDel="00000000" w:rsidP="00000000" w:rsidRDefault="00000000" w:rsidRPr="00000000" w14:paraId="0000009D">
      <w:pPr>
        <w:rPr>
          <w:color w:val="000000"/>
        </w:rPr>
      </w:pPr>
      <w:r w:rsidDel="00000000" w:rsidR="00000000" w:rsidRPr="00000000">
        <w:rPr>
          <w:rtl w:val="0"/>
        </w:rPr>
      </w:r>
    </w:p>
    <w:p w:rsidR="00000000" w:rsidDel="00000000" w:rsidP="00000000" w:rsidRDefault="00000000" w:rsidRPr="00000000" w14:paraId="0000009E">
      <w:pPr>
        <w:rPr>
          <w:color w:val="000000"/>
        </w:rPr>
      </w:pPr>
      <w:r w:rsidDel="00000000" w:rsidR="00000000" w:rsidRPr="00000000">
        <w:rPr>
          <w:color w:val="000000"/>
          <w:rtl w:val="0"/>
        </w:rPr>
        <w:t xml:space="preserve">Framing the Matsu case within the lens of "governance beyond the law" (Polese et al. 2019) and "infrapolitics" (Scott 2012), the paper argues that these informal practices were not simply acts of deviance, but alternative moral economies rooted in community values. They highlight the divergence between state-imposed norms and lived ethics, especially in peripheral spaces where the state’s regulatory reach was uneven, contradictory, or morally questioned. The Matsu experience demonstrates how informal economies can function as both resistance and adaptation, offering a compelling case for rethinking the legal-illegal binary and the moral geography of governance.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color w:val="000000"/>
        </w:rPr>
      </w:pPr>
      <w:r w:rsidDel="00000000" w:rsidR="00000000" w:rsidRPr="00000000">
        <w:rPr>
          <w:b w:val="1"/>
          <w:bCs w:val="1"/>
          <w:color w:val="000000"/>
          <w:rtl w:val="0"/>
        </w:rPr>
        <w:t xml:space="preserve">The Geopolitics of the American Visa, </w:t>
      </w:r>
      <w:r w:rsidDel="00000000" w:rsidR="00000000" w:rsidRPr="00000000">
        <w:rPr>
          <w:color w:val="000000"/>
          <w:rtl w:val="0"/>
        </w:rPr>
        <w:t xml:space="preserve">Zoran Naroo (Cornell University)</w:t>
      </w:r>
    </w:p>
    <w:p w:rsidR="00000000" w:rsidDel="00000000" w:rsidP="00000000" w:rsidRDefault="00000000" w:rsidRPr="00000000" w14:paraId="000000A1">
      <w:pPr>
        <w:rPr>
          <w:color w:val="000000"/>
        </w:rPr>
      </w:pPr>
      <w:r w:rsidDel="00000000" w:rsidR="00000000" w:rsidRPr="00000000">
        <w:rPr>
          <w:rtl w:val="0"/>
        </w:rPr>
      </w:r>
    </w:p>
    <w:p w:rsidR="00000000" w:rsidDel="00000000" w:rsidP="00000000" w:rsidRDefault="00000000" w:rsidRPr="00000000" w14:paraId="000000A2">
      <w:pPr>
        <w:rPr>
          <w:color w:val="000000"/>
        </w:rPr>
      </w:pPr>
      <w:r w:rsidDel="00000000" w:rsidR="00000000" w:rsidRPr="00000000">
        <w:rPr>
          <w:color w:val="000000"/>
          <w:rtl w:val="0"/>
        </w:rPr>
        <w:t xml:space="preserve">Following 9/11, an immediate policy trend reacting to uncertainty and security emerged which led to the reconfiguration of government agencies and visa policies. Through what Louise Amoore terms “algorithmic war” (Amoore 2009), the delineation between external and internal threats shattered and the American security apparatus targeted both deliberately. Prior scholarship focuses thus on the systemic implications for policies; by describing how they impact migrants, citizens, and others within the United States. To build on this scholarship, I study the rhetoric of certain policies themselves, as a means of uncovering preconceived notions and assumptions within the American policy sphere which led to America’s immense securitization, and fundamentally changed outlook regarding migrants as potential threats. I do this through employing Critical Discourse Analysis (CDA), analyzing formal communications and policies pertinent to migration under the newly formed Department of Homeland Security (such as the National Security Entry-Exit Registration System, The Patriot Act, and The Homeland Security Act of 2002). In these domestic-facing policies, I discover the means through which American geopolitics reflexively shifted through changes to the migration process; in deliberate terms, such as restrictions applied to nationalities, and in less definite terms through racialization. Thus, in agreement with the ideas of prior geographers analyzing this subject, I conclude that broadly defined threats led to the fusion of both the domestic and foreign spheres within the United States security apparatus; moreover, I discover that this has direct geopolitical consequences, creating a “protectionist” sphere in America domestically, which prevails to this day.</w:t>
      </w:r>
    </w:p>
    <w:p w:rsidR="00000000" w:rsidDel="00000000" w:rsidP="00000000" w:rsidRDefault="00000000" w:rsidRPr="00000000" w14:paraId="000000A3">
      <w:pPr>
        <w:rPr>
          <w:b w:val="1"/>
          <w:bCs w:val="1"/>
          <w:color w:val="000000"/>
        </w:rPr>
      </w:pPr>
      <w:r w:rsidDel="00000000" w:rsidR="00000000" w:rsidRPr="00000000">
        <w:rPr>
          <w:rtl w:val="0"/>
        </w:rPr>
      </w:r>
    </w:p>
    <w:p w:rsidR="00000000" w:rsidDel="00000000" w:rsidP="00000000" w:rsidRDefault="00000000" w:rsidRPr="00000000" w14:paraId="000000A4">
      <w:pPr>
        <w:rPr>
          <w:color w:val="000000"/>
        </w:rPr>
      </w:pPr>
      <w:r w:rsidDel="00000000" w:rsidR="00000000" w:rsidRPr="00000000">
        <w:rPr>
          <w:b w:val="1"/>
          <w:bCs w:val="1"/>
          <w:color w:val="000000"/>
          <w:rtl w:val="0"/>
        </w:rPr>
        <w:t xml:space="preserve">“It’s Not So Bad": Muslims’ Senses of Belonging to Rural, Southern West Virginia, </w:t>
      </w:r>
      <w:r w:rsidDel="00000000" w:rsidR="00000000" w:rsidRPr="00000000">
        <w:rPr>
          <w:color w:val="000000"/>
          <w:rtl w:val="0"/>
        </w:rPr>
        <w:t xml:space="preserve">Karen Culcasi</w:t>
      </w:r>
      <w:r w:rsidDel="00000000" w:rsidR="00000000" w:rsidRPr="00000000">
        <w:rPr>
          <w:b w:val="1"/>
          <w:bCs w:val="1"/>
          <w:color w:val="000000"/>
          <w:rtl w:val="0"/>
        </w:rPr>
        <w:t xml:space="preserve"> </w:t>
      </w:r>
      <w:r w:rsidDel="00000000" w:rsidR="00000000" w:rsidRPr="00000000">
        <w:rPr>
          <w:color w:val="000000"/>
          <w:rtl w:val="0"/>
        </w:rPr>
        <w:t xml:space="preserve">(West Virginia University)</w:t>
      </w:r>
    </w:p>
    <w:p w:rsidR="00000000" w:rsidDel="00000000" w:rsidP="00000000" w:rsidRDefault="00000000" w:rsidRPr="00000000" w14:paraId="000000A5">
      <w:pPr>
        <w:rPr>
          <w:color w:val="000000"/>
        </w:rPr>
      </w:pPr>
      <w:r w:rsidDel="00000000" w:rsidR="00000000" w:rsidRPr="00000000">
        <w:rPr>
          <w:rtl w:val="0"/>
        </w:rPr>
      </w:r>
    </w:p>
    <w:p w:rsidR="00000000" w:rsidDel="00000000" w:rsidP="00000000" w:rsidRDefault="00000000" w:rsidRPr="00000000" w14:paraId="000000A6">
      <w:pPr>
        <w:rPr>
          <w:color w:val="000000"/>
        </w:rPr>
      </w:pPr>
      <w:r w:rsidDel="00000000" w:rsidR="00000000" w:rsidRPr="00000000">
        <w:rPr>
          <w:color w:val="000000"/>
          <w:rtl w:val="0"/>
        </w:rPr>
        <w:t xml:space="preserve">Based on in-depth interviews and participant observations with Muslims living in rural, southern West Virginia, I found that they have positive feelings toward and strong senses of belonging to this rural area. Compared to other places they’ve lived, which were large, migratory-gateway cities like Chicago and Washington, DC, most felt that rural WV was a better and safer place to make a home. However, their positive sentiments of their rural community co-exist with their concern of its lack of diversity and opportunities and some experiences with anti-Muslim discrimination and hate. My findings of their generally positive experiences and strong senses of belonging to their rural area, as well as the fact that this community exists, questions mainstream discourse and a large body of literature that focus on rural spaces as intolerant and discriminatory to minorities. I also underscore the similarities and connections between urban/rural spaces, thus problematizing the still pervasive urban–rural binary that commonly informs public discourse and some academic research.</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between w:space="0" w:sz="0" w:val="nil"/>
        </w:pBdr>
        <w:shd w:fill="b8cce4" w:val="clear"/>
        <w:spacing w:after="200" w:lineRule="auto"/>
        <w:rPr>
          <w:color w:val="000000"/>
        </w:rPr>
      </w:pPr>
      <w:r w:rsidDel="00000000" w:rsidR="00000000" w:rsidRPr="00000000">
        <w:rPr>
          <w:b w:val="1"/>
          <w:bCs w:val="1"/>
          <w:rtl w:val="0"/>
        </w:rPr>
        <w:t xml:space="preserve">4:45-6:00</w:t>
      </w:r>
      <w:r w:rsidDel="00000000" w:rsidR="00000000" w:rsidRPr="00000000">
        <w:rPr>
          <w:b w:val="1"/>
          <w:bCs w:val="1"/>
          <w:color w:val="000000"/>
          <w:rtl w:val="0"/>
        </w:rPr>
        <w:tab/>
        <w:t xml:space="preserve">Session X: Urban Political Geographies</w:t>
      </w:r>
      <w:r w:rsidDel="00000000" w:rsidR="00000000" w:rsidRPr="00000000">
        <w:rPr>
          <w:rtl w:val="0"/>
        </w:rPr>
      </w:r>
    </w:p>
    <w:p w:rsidR="00000000" w:rsidDel="00000000" w:rsidP="00000000" w:rsidRDefault="00000000" w:rsidRPr="00000000" w14:paraId="000000A9">
      <w:pPr>
        <w:rPr>
          <w:highlight w:val="white"/>
        </w:rPr>
      </w:pPr>
      <w:r w:rsidDel="00000000" w:rsidR="00000000" w:rsidRPr="00000000">
        <w:rPr>
          <w:i w:val="1"/>
          <w:iCs w:val="1"/>
          <w:color w:val="000000"/>
          <w:rtl w:val="0"/>
        </w:rPr>
        <w:t xml:space="preserve">Chair: Afton Clarke-Sather, University of Minnesota-Duluth</w:t>
      </w:r>
      <w:r w:rsidDel="00000000" w:rsidR="00000000" w:rsidRPr="00000000">
        <w:rPr>
          <w:rtl w:val="0"/>
        </w:rPr>
      </w:r>
    </w:p>
    <w:p w:rsidR="00000000" w:rsidDel="00000000" w:rsidP="00000000" w:rsidRDefault="00000000" w:rsidRPr="00000000" w14:paraId="000000AA">
      <w:pPr>
        <w:rPr>
          <w:color w:val="000000"/>
        </w:rPr>
      </w:pPr>
      <w:r w:rsidDel="00000000" w:rsidR="00000000" w:rsidRPr="00000000">
        <w:rPr>
          <w:rtl w:val="0"/>
        </w:rPr>
      </w:r>
    </w:p>
    <w:p w:rsidR="00000000" w:rsidDel="00000000" w:rsidP="00000000" w:rsidRDefault="00000000" w:rsidRPr="00000000" w14:paraId="000000AB">
      <w:pPr>
        <w:rPr>
          <w:color w:val="1f1f1f"/>
        </w:rPr>
      </w:pPr>
      <w:r w:rsidDel="00000000" w:rsidR="00000000" w:rsidRPr="00000000">
        <w:rPr>
          <w:b w:val="1"/>
          <w:bCs w:val="1"/>
          <w:color w:val="1f1f1f"/>
          <w:rtl w:val="0"/>
        </w:rPr>
        <w:t xml:space="preserve">Urbicidal Encounters and Legacies: Examining the Temporalities of Urban Destruction through Tulsa, </w:t>
      </w:r>
      <w:r w:rsidDel="00000000" w:rsidR="00000000" w:rsidRPr="00000000">
        <w:rPr>
          <w:color w:val="1f1f1f"/>
          <w:rtl w:val="0"/>
        </w:rPr>
        <w:t xml:space="preserve">Anastasia Hollande (University of California, Los Angeles)</w:t>
      </w:r>
    </w:p>
    <w:p w:rsidR="00000000" w:rsidDel="00000000" w:rsidP="00000000" w:rsidRDefault="00000000" w:rsidRPr="00000000" w14:paraId="000000AC">
      <w:pPr>
        <w:rPr>
          <w:color w:val="1f1f1f"/>
        </w:rPr>
      </w:pPr>
      <w:r w:rsidDel="00000000" w:rsidR="00000000" w:rsidRPr="00000000">
        <w:rPr>
          <w:rtl w:val="0"/>
        </w:rPr>
      </w:r>
    </w:p>
    <w:p w:rsidR="00000000" w:rsidDel="00000000" w:rsidP="00000000" w:rsidRDefault="00000000" w:rsidRPr="00000000" w14:paraId="000000AD">
      <w:pPr>
        <w:rPr>
          <w:color w:val="1f1f1f"/>
        </w:rPr>
      </w:pPr>
      <w:r w:rsidDel="00000000" w:rsidR="00000000" w:rsidRPr="00000000">
        <w:rPr>
          <w:color w:val="1f1f1f"/>
          <w:rtl w:val="0"/>
        </w:rPr>
        <w:t xml:space="preserve">Scholarship on urbicide tends to focus on either violent erasure, typically during war, or structural disinvestment and oppression. Yet, these different modalities of violence often work together, co-producing urban destruction across time to further specific political projects. This paper offers a conceptual framework, which I call sustained urbicidal projects, for researching such conjunctions of slow and fast violence. I substantiate these claims by tracing the sustained urbicidal project that targeted Greenwood, a thriving Black neighborhood in Tulsa, beginning with fast violence of the massacre in 1921 followed by various mechanisms of slow violence that obstructed attempts by Black Tulsans to reconstitute the community in the following decades.</w:t>
      </w:r>
    </w:p>
    <w:p w:rsidR="00000000" w:rsidDel="00000000" w:rsidP="00000000" w:rsidRDefault="00000000" w:rsidRPr="00000000" w14:paraId="000000AE">
      <w:pPr>
        <w:rPr>
          <w:color w:val="1f1f1f"/>
          <w:highlight w:val="white"/>
        </w:rPr>
      </w:pPr>
      <w:r w:rsidDel="00000000" w:rsidR="00000000" w:rsidRPr="00000000">
        <w:rPr>
          <w:rtl w:val="0"/>
        </w:rPr>
      </w:r>
    </w:p>
    <w:p w:rsidR="00000000" w:rsidDel="00000000" w:rsidP="00000000" w:rsidRDefault="00000000" w:rsidRPr="00000000" w14:paraId="000000AF">
      <w:pPr>
        <w:rPr>
          <w:color w:val="000000"/>
        </w:rPr>
      </w:pPr>
      <w:r w:rsidDel="00000000" w:rsidR="00000000" w:rsidRPr="00000000">
        <w:rPr>
          <w:b w:val="1"/>
          <w:bCs w:val="1"/>
          <w:color w:val="000000"/>
          <w:rtl w:val="0"/>
        </w:rPr>
        <w:t xml:space="preserve">The Racial, Political and Physical Dynamics of Albuquerque's Metropolitan Flood Control Authority, </w:t>
      </w:r>
      <w:r w:rsidDel="00000000" w:rsidR="00000000" w:rsidRPr="00000000">
        <w:rPr>
          <w:color w:val="000000"/>
          <w:rtl w:val="0"/>
        </w:rPr>
        <w:t xml:space="preserve">Ramona Malczynski (University of New Mexico)</w:t>
      </w:r>
    </w:p>
    <w:p w:rsidR="00000000" w:rsidDel="00000000" w:rsidP="00000000" w:rsidRDefault="00000000" w:rsidRPr="00000000" w14:paraId="000000B0">
      <w:pPr>
        <w:rPr>
          <w:color w:val="000000"/>
        </w:rPr>
      </w:pPr>
      <w:r w:rsidDel="00000000" w:rsidR="00000000" w:rsidRPr="00000000">
        <w:rPr>
          <w:rtl w:val="0"/>
        </w:rPr>
      </w:r>
    </w:p>
    <w:p w:rsidR="00000000" w:rsidDel="00000000" w:rsidP="00000000" w:rsidRDefault="00000000" w:rsidRPr="00000000" w14:paraId="000000B1">
      <w:pPr>
        <w:rPr>
          <w:color w:val="000000"/>
        </w:rPr>
      </w:pPr>
      <w:r w:rsidDel="00000000" w:rsidR="00000000" w:rsidRPr="00000000">
        <w:rPr>
          <w:color w:val="000000"/>
          <w:rtl w:val="0"/>
        </w:rPr>
        <w:t xml:space="preserve">This paper is part of a larger dissertation project on the complex relationship between humans and concrete and environmental justice in Albuquerque, New Mexico. This paper focuses on the city’s drainage system of stormwater sewers and concrete-lined arroyos that channelize the downslope flow of water from the foothills of the Sandia Mountains to the valley of the Rio Grande which has allowed it to be developed and expanded. In the mid-19th century as the city began to grow and before the extensive drainage system, Albuquerque experienced regular devastating floods that damaged homes and displaced residents. This work is about the dynamics of environmental privilege and racism during the initiation of this drainage system and the body that manages it, now known as the Albuquerque Metropolitan Flood Control Authority. After the Middle Rio Grande Conservancy District was formed to manage flooding along the Rio Grande, local authorities conceived of the Sandia Conservancy District to manage flooding caused by stormwater. However, thousands of Albuquerque residents submitted formal protests about the assessment of the value of their property which was used to calculate the levy that each property owner would contribute to the project. These protesters complained that those who would benefit most from the project should bear most of the cost, the valley residents. This research explores the racial and socioeconomic, political and physical geographical dynamics involved in the development of and opposition to this project which would become essential for shaping the city.</w:t>
      </w:r>
    </w:p>
    <w:p w:rsidR="00000000" w:rsidDel="00000000" w:rsidP="00000000" w:rsidRDefault="00000000" w:rsidRPr="00000000" w14:paraId="000000B2">
      <w:pPr>
        <w:rPr>
          <w:b w:val="1"/>
          <w:bCs w:val="1"/>
          <w:color w:val="000000"/>
          <w:highlight w:val="white"/>
        </w:rPr>
      </w:pPr>
      <w:r w:rsidDel="00000000" w:rsidR="00000000" w:rsidRPr="00000000">
        <w:rPr>
          <w:rtl w:val="0"/>
        </w:rPr>
      </w:r>
    </w:p>
    <w:p w:rsidR="00000000" w:rsidDel="00000000" w:rsidP="00000000" w:rsidRDefault="00000000" w:rsidRPr="00000000" w14:paraId="000000B3">
      <w:pPr>
        <w:rPr>
          <w:color w:val="000000"/>
        </w:rPr>
      </w:pPr>
      <w:r w:rsidDel="00000000" w:rsidR="00000000" w:rsidRPr="00000000">
        <w:rPr>
          <w:b w:val="1"/>
          <w:bCs w:val="1"/>
          <w:color w:val="000000"/>
          <w:rtl w:val="0"/>
        </w:rPr>
        <w:t xml:space="preserve">“If you just asked me questions, I would not have known what to say”: Q-methodology as a feminist approach to doing political geography, </w:t>
      </w:r>
      <w:r w:rsidDel="00000000" w:rsidR="00000000" w:rsidRPr="00000000">
        <w:rPr>
          <w:color w:val="000000"/>
          <w:rtl w:val="0"/>
        </w:rPr>
        <w:t xml:space="preserve">Aila Bandagi Kandlakunta (University of Nevada-Reno); Jessie Clark; Kerri-Jean Ormerod</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How does one claim a right to the city? In this paper we apply Q methodology (Q) as a feminist intervention into literature on gendered rights to the city, particularly in contexts where authority is diffuse and everyday politics are difficult to articulate. Drawing on empirical research with transportation authority figures and female commuters in Hyderabad, India, we demonstrate how the unique procedures and techniques of Q method enable a praxis of rights-making.</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By asking ordinary, working women to sort and rank statements drawn from people in positions of authority - planners, policy makers, activists - Q can facilitate a conversation otherwise not possible. This structured engagement enables women to converse with authority, and through that, participate in the city, a key component of the conception of the gendered right to the city. In a context where participants described themselves as apolitical, Q acts as a method to investigate and articulate political subjectivity, demonstrating that urban belonging is a contested field of rights making.</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Through Q, women were able to speak from embodied, experiential knowledge, enrolling gendered subjectivity into the city’s political landscape. Furthermore, Q translates this subjective knowledge into the quantitative language of the state, making it legible to decision makers and planners. We argue that Q can be a feminist way of doing urban political geography - one that foregrounds individual and group subjectivity - while showing how rights to the city are made and claimed through the very act of speaking with and against authority.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PGSG – 2026 Pre-Conference - Abstracts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EA6BFE"/>
    <w:pPr>
      <w:keepNext w:val="1"/>
      <w:keepLines w:val="1"/>
      <w:spacing w:before="40" w:line="278" w:lineRule="auto"/>
      <w:outlineLvl w:val="6"/>
    </w:pPr>
    <w:rPr>
      <w:rFonts w:asciiTheme="minorHAnsi" w:cstheme="majorBidi" w:eastAsiaTheme="majorEastAsia" w:hAnsiTheme="minorHAnsi"/>
      <w:color w:val="595959" w:themeColor="text1" w:themeTint="0000A6"/>
      <w:kern w:val="2"/>
      <w:lang w:val="en-US"/>
    </w:rPr>
  </w:style>
  <w:style w:type="paragraph" w:styleId="Heading8">
    <w:name w:val="heading 8"/>
    <w:basedOn w:val="Normal"/>
    <w:next w:val="Normal"/>
    <w:link w:val="Heading8Char"/>
    <w:uiPriority w:val="9"/>
    <w:semiHidden w:val="1"/>
    <w:unhideWhenUsed w:val="1"/>
    <w:qFormat w:val="1"/>
    <w:rsid w:val="00EA6BFE"/>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lang w:val="en-US"/>
    </w:rPr>
  </w:style>
  <w:style w:type="paragraph" w:styleId="Heading9">
    <w:name w:val="heading 9"/>
    <w:basedOn w:val="Normal"/>
    <w:next w:val="Normal"/>
    <w:link w:val="Heading9Char"/>
    <w:uiPriority w:val="9"/>
    <w:semiHidden w:val="1"/>
    <w:unhideWhenUsed w:val="1"/>
    <w:qFormat w:val="1"/>
    <w:rsid w:val="00EA6BFE"/>
    <w:pPr>
      <w:keepNext w:val="1"/>
      <w:keepLines w:val="1"/>
      <w:spacing w:line="278" w:lineRule="auto"/>
      <w:outlineLvl w:val="8"/>
    </w:pPr>
    <w:rPr>
      <w:rFonts w:asciiTheme="minorHAnsi" w:cstheme="majorBidi" w:eastAsiaTheme="majorEastAsia" w:hAnsiTheme="minorHAnsi"/>
      <w:color w:val="272727" w:themeColor="text1" w:themeTint="0000D8"/>
      <w:kern w:val="2"/>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A6BF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A6BF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A6BF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A6BF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A6BF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A6BF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A6BF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A6BF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A6BF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A6BF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A6BF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A6BFE"/>
    <w:pPr>
      <w:spacing w:after="160" w:before="160" w:line="278" w:lineRule="auto"/>
      <w:jc w:val="center"/>
    </w:pPr>
    <w:rPr>
      <w:rFonts w:asciiTheme="minorHAnsi" w:cstheme="minorBidi" w:eastAsiaTheme="minorHAnsi" w:hAnsiTheme="minorHAnsi"/>
      <w:i w:val="1"/>
      <w:iCs w:val="1"/>
      <w:color w:val="404040" w:themeColor="text1" w:themeTint="0000BF"/>
      <w:kern w:val="2"/>
      <w:lang w:val="en-US"/>
    </w:rPr>
  </w:style>
  <w:style w:type="character" w:styleId="QuoteChar" w:customStyle="1">
    <w:name w:val="Quote Char"/>
    <w:basedOn w:val="DefaultParagraphFont"/>
    <w:link w:val="Quote"/>
    <w:uiPriority w:val="29"/>
    <w:rsid w:val="00EA6BFE"/>
    <w:rPr>
      <w:i w:val="1"/>
      <w:iCs w:val="1"/>
      <w:color w:val="404040" w:themeColor="text1" w:themeTint="0000BF"/>
    </w:rPr>
  </w:style>
  <w:style w:type="paragraph" w:styleId="ListParagraph">
    <w:name w:val="List Paragraph"/>
    <w:basedOn w:val="Normal"/>
    <w:uiPriority w:val="34"/>
    <w:qFormat w:val="1"/>
    <w:rsid w:val="00EA6BFE"/>
    <w:pPr>
      <w:spacing w:after="160" w:line="278" w:lineRule="auto"/>
      <w:ind w:left="720"/>
      <w:contextualSpacing w:val="1"/>
    </w:pPr>
    <w:rPr>
      <w:rFonts w:asciiTheme="minorHAnsi" w:cstheme="minorBidi" w:eastAsiaTheme="minorHAnsi" w:hAnsiTheme="minorHAnsi"/>
      <w:kern w:val="2"/>
      <w:lang w:val="en-US"/>
    </w:rPr>
  </w:style>
  <w:style w:type="character" w:styleId="IntenseEmphasis">
    <w:name w:val="Intense Emphasis"/>
    <w:basedOn w:val="DefaultParagraphFont"/>
    <w:uiPriority w:val="21"/>
    <w:qFormat w:val="1"/>
    <w:rsid w:val="00EA6BFE"/>
    <w:rPr>
      <w:i w:val="1"/>
      <w:iCs w:val="1"/>
      <w:color w:val="0f4761" w:themeColor="accent1" w:themeShade="0000BF"/>
    </w:rPr>
  </w:style>
  <w:style w:type="paragraph" w:styleId="IntenseQuote">
    <w:name w:val="Intense Quote"/>
    <w:basedOn w:val="Normal"/>
    <w:next w:val="Normal"/>
    <w:link w:val="IntenseQuoteChar"/>
    <w:uiPriority w:val="30"/>
    <w:qFormat w:val="1"/>
    <w:rsid w:val="00EA6BFE"/>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lang w:val="en-US"/>
    </w:rPr>
  </w:style>
  <w:style w:type="character" w:styleId="IntenseQuoteChar" w:customStyle="1">
    <w:name w:val="Intense Quote Char"/>
    <w:basedOn w:val="DefaultParagraphFont"/>
    <w:link w:val="IntenseQuote"/>
    <w:uiPriority w:val="30"/>
    <w:rsid w:val="00EA6BFE"/>
    <w:rPr>
      <w:i w:val="1"/>
      <w:iCs w:val="1"/>
      <w:color w:val="0f4761" w:themeColor="accent1" w:themeShade="0000BF"/>
    </w:rPr>
  </w:style>
  <w:style w:type="character" w:styleId="IntenseReference">
    <w:name w:val="Intense Reference"/>
    <w:basedOn w:val="DefaultParagraphFont"/>
    <w:uiPriority w:val="32"/>
    <w:qFormat w:val="1"/>
    <w:rsid w:val="00EA6BFE"/>
    <w:rPr>
      <w:b w:val="1"/>
      <w:bCs w:val="1"/>
      <w:smallCaps w:val="1"/>
      <w:color w:val="0f4761" w:themeColor="accent1" w:themeShade="0000BF"/>
      <w:spacing w:val="5"/>
    </w:rPr>
  </w:style>
  <w:style w:type="paragraph" w:styleId="Header">
    <w:name w:val="header"/>
    <w:basedOn w:val="Normal"/>
    <w:link w:val="HeaderChar"/>
    <w:uiPriority w:val="99"/>
    <w:unhideWhenUsed w:val="1"/>
    <w:rsid w:val="000F017E"/>
    <w:pPr>
      <w:tabs>
        <w:tab w:val="center" w:pos="4680"/>
        <w:tab w:val="right" w:pos="9360"/>
      </w:tabs>
    </w:pPr>
  </w:style>
  <w:style w:type="character" w:styleId="HeaderChar" w:customStyle="1">
    <w:name w:val="Header Char"/>
    <w:basedOn w:val="DefaultParagraphFont"/>
    <w:link w:val="Header"/>
    <w:uiPriority w:val="99"/>
    <w:rsid w:val="000F017E"/>
    <w:rPr>
      <w:rFonts w:ascii="Times New Roman" w:cs="Times New Roman" w:eastAsia="Times New Roman" w:hAnsi="Times New Roman"/>
      <w:kern w:val="0"/>
      <w:lang w:val="en"/>
    </w:rPr>
  </w:style>
  <w:style w:type="paragraph" w:styleId="Footer">
    <w:name w:val="footer"/>
    <w:basedOn w:val="Normal"/>
    <w:link w:val="FooterChar"/>
    <w:uiPriority w:val="99"/>
    <w:unhideWhenUsed w:val="1"/>
    <w:rsid w:val="000F017E"/>
    <w:pPr>
      <w:tabs>
        <w:tab w:val="center" w:pos="4680"/>
        <w:tab w:val="right" w:pos="9360"/>
      </w:tabs>
    </w:pPr>
  </w:style>
  <w:style w:type="character" w:styleId="FooterChar" w:customStyle="1">
    <w:name w:val="Footer Char"/>
    <w:basedOn w:val="DefaultParagraphFont"/>
    <w:link w:val="Footer"/>
    <w:uiPriority w:val="99"/>
    <w:rsid w:val="000F017E"/>
    <w:rPr>
      <w:rFonts w:ascii="Times New Roman" w:cs="Times New Roman" w:eastAsia="Times New Roman" w:hAnsi="Times New Roman"/>
      <w:kern w:val="0"/>
      <w:lang w:val="en"/>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Jmg4feTKHJWRV62gqJ19lznFQ==">CgMxLjAyDmguejkzZXJrbTJiN3ZmOAByITFXVjdBSTNtZVZnT0g0MVlrWjRickMyeUFSSG0yT0t4aQ==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2026-02-08T13:54:00Z</dcterms:created>
  <dc:creator>Lindsay Naylor</dc:creator>
</cp:coreProperties>
</file>